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1ED" w:rsidRDefault="007251ED" w:rsidP="007251ED">
      <w:pPr>
        <w:spacing w:after="160"/>
        <w:ind w:left="5954"/>
        <w:jc w:val="center"/>
        <w:rPr>
          <w:sz w:val="24"/>
          <w:szCs w:val="24"/>
        </w:rPr>
      </w:pPr>
      <w:bookmarkStart w:id="0" w:name="_GoBack"/>
      <w:bookmarkEnd w:id="0"/>
      <w:r>
        <w:rPr>
          <w:sz w:val="24"/>
          <w:szCs w:val="24"/>
        </w:rPr>
        <w:t>ЗАРЕГИСТРИРОВАНО</w:t>
      </w:r>
    </w:p>
    <w:tbl>
      <w:tblPr>
        <w:tblW w:w="0" w:type="auto"/>
        <w:tblInd w:w="5954" w:type="dxa"/>
        <w:tblLayout w:type="fixed"/>
        <w:tblCellMar>
          <w:left w:w="28" w:type="dxa"/>
          <w:right w:w="28" w:type="dxa"/>
        </w:tblCellMar>
        <w:tblLook w:val="0000" w:firstRow="0" w:lastRow="0" w:firstColumn="0" w:lastColumn="0" w:noHBand="0" w:noVBand="0"/>
      </w:tblPr>
      <w:tblGrid>
        <w:gridCol w:w="182"/>
        <w:gridCol w:w="397"/>
        <w:gridCol w:w="255"/>
        <w:gridCol w:w="1814"/>
        <w:gridCol w:w="397"/>
        <w:gridCol w:w="397"/>
        <w:gridCol w:w="624"/>
      </w:tblGrid>
      <w:tr w:rsidR="007251ED" w:rsidTr="00F8723B">
        <w:tc>
          <w:tcPr>
            <w:tcW w:w="182" w:type="dxa"/>
            <w:tcBorders>
              <w:top w:val="nil"/>
              <w:left w:val="nil"/>
              <w:bottom w:val="nil"/>
              <w:right w:val="nil"/>
            </w:tcBorders>
            <w:vAlign w:val="bottom"/>
          </w:tcPr>
          <w:p w:rsidR="007251ED" w:rsidRDefault="007251ED" w:rsidP="00F8723B">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7251ED" w:rsidRDefault="007251ED" w:rsidP="00F8723B">
            <w:pPr>
              <w:jc w:val="center"/>
              <w:rPr>
                <w:sz w:val="24"/>
                <w:szCs w:val="24"/>
              </w:rPr>
            </w:pPr>
          </w:p>
        </w:tc>
        <w:tc>
          <w:tcPr>
            <w:tcW w:w="255" w:type="dxa"/>
            <w:tcBorders>
              <w:top w:val="nil"/>
              <w:left w:val="nil"/>
              <w:bottom w:val="nil"/>
              <w:right w:val="nil"/>
            </w:tcBorders>
            <w:vAlign w:val="bottom"/>
          </w:tcPr>
          <w:p w:rsidR="007251ED" w:rsidRDefault="007251ED" w:rsidP="00F8723B">
            <w:pPr>
              <w:rPr>
                <w:sz w:val="24"/>
                <w:szCs w:val="24"/>
              </w:rPr>
            </w:pPr>
            <w:r>
              <w:rPr>
                <w:sz w:val="24"/>
                <w:szCs w:val="24"/>
              </w:rPr>
              <w:t>»</w:t>
            </w:r>
          </w:p>
        </w:tc>
        <w:tc>
          <w:tcPr>
            <w:tcW w:w="1814" w:type="dxa"/>
            <w:tcBorders>
              <w:top w:val="nil"/>
              <w:left w:val="nil"/>
              <w:bottom w:val="single" w:sz="4" w:space="0" w:color="auto"/>
              <w:right w:val="nil"/>
            </w:tcBorders>
            <w:vAlign w:val="bottom"/>
          </w:tcPr>
          <w:p w:rsidR="007251ED" w:rsidRDefault="007251ED" w:rsidP="00F8723B">
            <w:pPr>
              <w:jc w:val="center"/>
              <w:rPr>
                <w:sz w:val="24"/>
                <w:szCs w:val="24"/>
              </w:rPr>
            </w:pPr>
          </w:p>
        </w:tc>
        <w:tc>
          <w:tcPr>
            <w:tcW w:w="397" w:type="dxa"/>
            <w:tcBorders>
              <w:top w:val="nil"/>
              <w:left w:val="nil"/>
              <w:bottom w:val="nil"/>
              <w:right w:val="nil"/>
            </w:tcBorders>
            <w:vAlign w:val="bottom"/>
          </w:tcPr>
          <w:p w:rsidR="007251ED" w:rsidRDefault="007251ED" w:rsidP="00F8723B">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7251ED" w:rsidRDefault="007251ED" w:rsidP="00F8723B">
            <w:pPr>
              <w:rPr>
                <w:sz w:val="24"/>
                <w:szCs w:val="24"/>
              </w:rPr>
            </w:pPr>
          </w:p>
        </w:tc>
        <w:tc>
          <w:tcPr>
            <w:tcW w:w="624" w:type="dxa"/>
            <w:tcBorders>
              <w:top w:val="nil"/>
              <w:left w:val="nil"/>
              <w:bottom w:val="nil"/>
              <w:right w:val="nil"/>
            </w:tcBorders>
            <w:vAlign w:val="bottom"/>
          </w:tcPr>
          <w:p w:rsidR="007251ED" w:rsidRDefault="007251ED" w:rsidP="00F8723B">
            <w:pPr>
              <w:ind w:left="57"/>
              <w:rPr>
                <w:sz w:val="24"/>
                <w:szCs w:val="24"/>
              </w:rPr>
            </w:pPr>
            <w:r>
              <w:rPr>
                <w:sz w:val="24"/>
                <w:szCs w:val="24"/>
              </w:rPr>
              <w:t>года</w:t>
            </w:r>
          </w:p>
        </w:tc>
      </w:tr>
    </w:tbl>
    <w:p w:rsidR="007251ED" w:rsidRPr="0067482D" w:rsidRDefault="007251ED" w:rsidP="007251ED">
      <w:pPr>
        <w:spacing w:before="120"/>
        <w:ind w:left="5954"/>
        <w:jc w:val="center"/>
        <w:rPr>
          <w:sz w:val="24"/>
          <w:szCs w:val="24"/>
        </w:rPr>
      </w:pPr>
      <w:r w:rsidRPr="0067482D">
        <w:rPr>
          <w:sz w:val="24"/>
          <w:szCs w:val="24"/>
        </w:rPr>
        <w:t xml:space="preserve"> Центральный банк Российской Федерации</w:t>
      </w:r>
    </w:p>
    <w:p w:rsidR="007251ED" w:rsidRDefault="007251ED" w:rsidP="007251ED">
      <w:pPr>
        <w:pBdr>
          <w:top w:val="single" w:sz="4" w:space="1" w:color="auto"/>
        </w:pBdr>
        <w:ind w:left="5954"/>
        <w:jc w:val="center"/>
      </w:pPr>
      <w:r>
        <w:t>(наименование регистрирующего органа)</w:t>
      </w:r>
    </w:p>
    <w:p w:rsidR="007251ED" w:rsidRDefault="007251ED" w:rsidP="007251ED">
      <w:pPr>
        <w:ind w:left="5954"/>
        <w:jc w:val="center"/>
        <w:rPr>
          <w:sz w:val="24"/>
          <w:szCs w:val="24"/>
        </w:rPr>
      </w:pPr>
    </w:p>
    <w:p w:rsidR="007251ED" w:rsidRDefault="007251ED" w:rsidP="007251ED">
      <w:pPr>
        <w:pBdr>
          <w:top w:val="single" w:sz="4" w:space="1" w:color="auto"/>
        </w:pBdr>
        <w:ind w:left="5954"/>
        <w:jc w:val="center"/>
      </w:pPr>
      <w:r>
        <w:t>(подпись уполномоченного лица)</w:t>
      </w:r>
    </w:p>
    <w:p w:rsidR="007251ED" w:rsidRDefault="007251ED" w:rsidP="007251ED">
      <w:pPr>
        <w:ind w:left="5954"/>
        <w:jc w:val="center"/>
      </w:pPr>
      <w:r>
        <w:t>М.П.</w:t>
      </w:r>
    </w:p>
    <w:p w:rsidR="00F00BFD" w:rsidRDefault="00F00BFD" w:rsidP="000819D5">
      <w:pPr>
        <w:jc w:val="center"/>
        <w:rPr>
          <w:b/>
          <w:sz w:val="26"/>
          <w:szCs w:val="26"/>
        </w:rPr>
      </w:pPr>
    </w:p>
    <w:p w:rsidR="002B6DB6" w:rsidRPr="000B7AAE" w:rsidRDefault="00D92EAD" w:rsidP="000819D5">
      <w:pPr>
        <w:jc w:val="center"/>
        <w:rPr>
          <w:b/>
          <w:sz w:val="26"/>
          <w:szCs w:val="26"/>
        </w:rPr>
      </w:pPr>
      <w:r>
        <w:rPr>
          <w:b/>
          <w:sz w:val="26"/>
          <w:szCs w:val="26"/>
        </w:rPr>
        <w:t xml:space="preserve">ИЗМЕНЕНИЯ В </w:t>
      </w:r>
      <w:r w:rsidR="002B6DB6" w:rsidRPr="000B7AAE">
        <w:rPr>
          <w:b/>
          <w:sz w:val="26"/>
          <w:szCs w:val="26"/>
        </w:rPr>
        <w:t xml:space="preserve">РЕШЕНИЕ О ВЫПУСКЕ </w:t>
      </w:r>
      <w:r w:rsidR="00D034B8">
        <w:rPr>
          <w:b/>
          <w:sz w:val="26"/>
          <w:szCs w:val="26"/>
        </w:rPr>
        <w:t>ЦЕННЫХ БУМАГ</w:t>
      </w:r>
    </w:p>
    <w:p w:rsidR="00E22868" w:rsidRDefault="00E22868" w:rsidP="00E22868">
      <w:pPr>
        <w:adjustRightInd w:val="0"/>
        <w:rPr>
          <w:rFonts w:ascii="ArialMT" w:hAnsi="ArialMT" w:cs="ArialMT"/>
          <w:sz w:val="24"/>
          <w:szCs w:val="24"/>
        </w:rPr>
      </w:pPr>
    </w:p>
    <w:p w:rsidR="002B6DB6" w:rsidRPr="00FB7F6C" w:rsidRDefault="00E22868" w:rsidP="00FB7F6C">
      <w:pPr>
        <w:adjustRightInd w:val="0"/>
        <w:jc w:val="center"/>
        <w:rPr>
          <w:sz w:val="28"/>
          <w:szCs w:val="28"/>
        </w:rPr>
      </w:pPr>
      <w:r w:rsidRPr="00E22868">
        <w:rPr>
          <w:sz w:val="28"/>
          <w:szCs w:val="28"/>
        </w:rPr>
        <w:t>Акционерное общество «Российский Банк поддержки малого и среднего предпринимательства»</w:t>
      </w:r>
    </w:p>
    <w:p w:rsidR="002B6DB6" w:rsidRDefault="002B6DB6">
      <w:pPr>
        <w:pBdr>
          <w:top w:val="single" w:sz="4" w:space="1" w:color="auto"/>
        </w:pBdr>
        <w:jc w:val="center"/>
      </w:pPr>
      <w:r>
        <w:t>(указывается полное фирменное наименование кредитной организации – эмитента)</w:t>
      </w:r>
    </w:p>
    <w:p w:rsidR="00FE6F2A" w:rsidRDefault="00FE6F2A" w:rsidP="00FE6F2A">
      <w:pPr>
        <w:adjustRightInd w:val="0"/>
        <w:rPr>
          <w:b/>
          <w:bCs/>
          <w:i/>
          <w:iCs/>
          <w:sz w:val="23"/>
          <w:szCs w:val="23"/>
        </w:rPr>
      </w:pPr>
    </w:p>
    <w:p w:rsidR="002B6DB6" w:rsidRPr="00FE6F2A" w:rsidRDefault="002B6DB6" w:rsidP="00FE6F2A">
      <w:pPr>
        <w:adjustRightInd w:val="0"/>
        <w:jc w:val="center"/>
        <w:rPr>
          <w:b/>
          <w:bCs/>
          <w:i/>
          <w:iCs/>
          <w:sz w:val="24"/>
          <w:szCs w:val="24"/>
        </w:rPr>
      </w:pPr>
      <w:r w:rsidRPr="00FE6F2A">
        <w:rPr>
          <w:b/>
          <w:bCs/>
          <w:i/>
          <w:iCs/>
          <w:sz w:val="24"/>
          <w:szCs w:val="24"/>
        </w:rPr>
        <w:t xml:space="preserve">облигации </w:t>
      </w:r>
      <w:r w:rsidR="003E08DB">
        <w:rPr>
          <w:b/>
          <w:bCs/>
          <w:i/>
          <w:iCs/>
          <w:sz w:val="24"/>
          <w:szCs w:val="24"/>
        </w:rPr>
        <w:t xml:space="preserve">бездокументарные процентные </w:t>
      </w:r>
      <w:r w:rsidR="00FE6F2A" w:rsidRPr="00FE6F2A">
        <w:rPr>
          <w:b/>
          <w:bCs/>
          <w:i/>
          <w:iCs/>
          <w:sz w:val="24"/>
          <w:szCs w:val="24"/>
        </w:rPr>
        <w:t>неконвертируемы</w:t>
      </w:r>
      <w:r w:rsidR="003E08DB">
        <w:rPr>
          <w:b/>
          <w:bCs/>
          <w:i/>
          <w:iCs/>
          <w:sz w:val="24"/>
          <w:szCs w:val="24"/>
        </w:rPr>
        <w:t>е с централизованным учетом прав</w:t>
      </w:r>
      <w:r w:rsidR="00FE6F2A" w:rsidRPr="00FE6F2A">
        <w:rPr>
          <w:b/>
          <w:bCs/>
          <w:i/>
          <w:iCs/>
          <w:sz w:val="24"/>
          <w:szCs w:val="24"/>
        </w:rPr>
        <w:t xml:space="preserve"> серии</w:t>
      </w:r>
      <w:r w:rsidR="009260EE">
        <w:rPr>
          <w:b/>
          <w:bCs/>
          <w:i/>
          <w:iCs/>
          <w:sz w:val="24"/>
          <w:szCs w:val="24"/>
        </w:rPr>
        <w:t xml:space="preserve"> С01</w:t>
      </w:r>
      <w:r w:rsidR="00FE6F2A" w:rsidRPr="00FE6F2A">
        <w:rPr>
          <w:b/>
          <w:bCs/>
          <w:i/>
          <w:iCs/>
          <w:sz w:val="24"/>
          <w:szCs w:val="24"/>
        </w:rPr>
        <w:t xml:space="preserve">, предназначенные для квалифицированных инвесторов, в количестве 500 (Пятьсот) штук номинальной стоимостью 10 000 000 (Десять миллионов) рублей каждая со сроком погашения в 3 640-й (Три тысячи шестьсот сороковой) день с даты начала размещения облигаций, с возможностью </w:t>
      </w:r>
      <w:r w:rsidR="004658A1">
        <w:rPr>
          <w:b/>
          <w:bCs/>
          <w:i/>
          <w:iCs/>
          <w:sz w:val="24"/>
          <w:szCs w:val="24"/>
        </w:rPr>
        <w:t xml:space="preserve">досрочного </w:t>
      </w:r>
      <w:r w:rsidR="00FE6F2A" w:rsidRPr="00FE6F2A">
        <w:rPr>
          <w:b/>
          <w:bCs/>
          <w:i/>
          <w:iCs/>
          <w:sz w:val="24"/>
          <w:szCs w:val="24"/>
        </w:rPr>
        <w:t>погашения по усмотрению кредитной организации-эмитента, размещаемые по закрытой подписке</w:t>
      </w:r>
    </w:p>
    <w:p w:rsidR="00D034B8" w:rsidRDefault="00D034B8" w:rsidP="00D034B8">
      <w:pPr>
        <w:tabs>
          <w:tab w:val="right" w:pos="9923"/>
        </w:tabs>
        <w:jc w:val="both"/>
        <w:rPr>
          <w:rFonts w:eastAsiaTheme="minorEastAsia"/>
          <w:sz w:val="24"/>
          <w:szCs w:val="24"/>
        </w:rPr>
      </w:pPr>
      <w:r w:rsidRPr="00D034B8">
        <w:rPr>
          <w:rFonts w:eastAsiaTheme="minorEastAsia"/>
          <w:sz w:val="24"/>
          <w:szCs w:val="24"/>
        </w:rPr>
        <w:t>индивидуальный государственный</w:t>
      </w:r>
      <w:r>
        <w:rPr>
          <w:rFonts w:eastAsiaTheme="minorEastAsia"/>
          <w:sz w:val="24"/>
          <w:szCs w:val="24"/>
        </w:rPr>
        <w:t xml:space="preserve"> регистрационный номер выпуска </w:t>
      </w:r>
      <w:r w:rsidRPr="00D034B8">
        <w:rPr>
          <w:rFonts w:eastAsiaTheme="minorEastAsia"/>
          <w:sz w:val="24"/>
          <w:szCs w:val="24"/>
        </w:rPr>
        <w:t>ценных бумаг:</w:t>
      </w:r>
    </w:p>
    <w:p w:rsidR="00D034B8" w:rsidRPr="00D034B8" w:rsidRDefault="00D034B8" w:rsidP="00DC4B60">
      <w:pPr>
        <w:tabs>
          <w:tab w:val="left" w:pos="5595"/>
          <w:tab w:val="right" w:pos="9923"/>
        </w:tabs>
        <w:jc w:val="both"/>
        <w:rPr>
          <w:rFonts w:eastAsiaTheme="minorEastAsia"/>
          <w:sz w:val="24"/>
          <w:szCs w:val="24"/>
        </w:rPr>
      </w:pPr>
      <w:r w:rsidRPr="00D034B8">
        <w:rPr>
          <w:rFonts w:eastAsiaTheme="minorEastAsia"/>
          <w:sz w:val="24"/>
          <w:szCs w:val="24"/>
        </w:rPr>
        <w:t xml:space="preserve">  </w:t>
      </w:r>
      <w:r w:rsidRPr="00D034B8">
        <w:rPr>
          <w:rFonts w:eastAsiaTheme="minorEastAsia"/>
          <w:sz w:val="24"/>
          <w:szCs w:val="24"/>
        </w:rPr>
        <w:tab/>
      </w:r>
      <w:r w:rsidR="00DC4B60" w:rsidRPr="00B0060D">
        <w:rPr>
          <w:rFonts w:eastAsiaTheme="minorEastAsia"/>
          <w:sz w:val="24"/>
          <w:szCs w:val="24"/>
        </w:rPr>
        <w:t>40303340</w:t>
      </w:r>
      <w:r w:rsidR="00DC4B60">
        <w:rPr>
          <w:rFonts w:eastAsiaTheme="minorEastAsia"/>
          <w:sz w:val="24"/>
          <w:szCs w:val="24"/>
          <w:lang w:val="en-US"/>
        </w:rPr>
        <w:t>B</w:t>
      </w:r>
      <w:r w:rsidR="00DC4B60">
        <w:rPr>
          <w:rFonts w:eastAsiaTheme="minorEastAsia"/>
          <w:sz w:val="24"/>
          <w:szCs w:val="24"/>
        </w:rPr>
        <w:tab/>
      </w:r>
      <w:r w:rsidRPr="00D034B8">
        <w:rPr>
          <w:rFonts w:eastAsiaTheme="minorEastAsia"/>
          <w:sz w:val="24"/>
          <w:szCs w:val="24"/>
        </w:rPr>
        <w:t>;</w:t>
      </w:r>
    </w:p>
    <w:p w:rsidR="00D034B8" w:rsidRPr="00D034B8" w:rsidRDefault="00D034B8" w:rsidP="00D034B8">
      <w:pPr>
        <w:pBdr>
          <w:top w:val="single" w:sz="4" w:space="1" w:color="auto"/>
        </w:pBdr>
        <w:spacing w:after="200"/>
        <w:ind w:left="2586" w:right="113"/>
        <w:jc w:val="center"/>
        <w:rPr>
          <w:rFonts w:eastAsiaTheme="minorEastAsia"/>
        </w:rPr>
      </w:pPr>
      <w:r w:rsidRPr="00D034B8">
        <w:rPr>
          <w:rFonts w:eastAsiaTheme="minorEastAsia"/>
        </w:rPr>
        <w:t>(указывается индивидуальный государственный регистрационный номер</w:t>
      </w:r>
      <w:r w:rsidRPr="00D034B8">
        <w:rPr>
          <w:rFonts w:eastAsiaTheme="minorEastAsia"/>
        </w:rPr>
        <w:br/>
        <w:t>и при дополнительном выпуске – индивидуальный код)</w:t>
      </w:r>
    </w:p>
    <w:p w:rsidR="00D034B8" w:rsidRDefault="00D034B8" w:rsidP="00D034B8">
      <w:pPr>
        <w:keepNext/>
        <w:jc w:val="both"/>
        <w:rPr>
          <w:rFonts w:eastAsiaTheme="minorEastAsia"/>
          <w:sz w:val="24"/>
          <w:szCs w:val="24"/>
        </w:rPr>
      </w:pPr>
      <w:r w:rsidRPr="00D034B8">
        <w:rPr>
          <w:rFonts w:eastAsiaTheme="minorEastAsia"/>
          <w:sz w:val="24"/>
          <w:szCs w:val="24"/>
        </w:rPr>
        <w:t>дата государственной регистрации выпуска ценных бумаг:</w:t>
      </w:r>
    </w:p>
    <w:p w:rsidR="00D034B8" w:rsidRPr="00D034B8" w:rsidRDefault="00D034B8" w:rsidP="00D034B8">
      <w:pPr>
        <w:keepNext/>
        <w:jc w:val="both"/>
        <w:rPr>
          <w:rFonts w:eastAsiaTheme="minorEastAsia"/>
          <w:sz w:val="2"/>
          <w:szCs w:val="2"/>
        </w:rPr>
      </w:pPr>
    </w:p>
    <w:tbl>
      <w:tblPr>
        <w:tblW w:w="0" w:type="auto"/>
        <w:tblLayout w:type="fixed"/>
        <w:tblCellMar>
          <w:left w:w="28" w:type="dxa"/>
          <w:right w:w="28" w:type="dxa"/>
        </w:tblCellMar>
        <w:tblLook w:val="0000" w:firstRow="0" w:lastRow="0" w:firstColumn="0" w:lastColumn="0" w:noHBand="0" w:noVBand="0"/>
      </w:tblPr>
      <w:tblGrid>
        <w:gridCol w:w="182"/>
        <w:gridCol w:w="397"/>
        <w:gridCol w:w="255"/>
        <w:gridCol w:w="1814"/>
        <w:gridCol w:w="397"/>
        <w:gridCol w:w="397"/>
        <w:gridCol w:w="737"/>
      </w:tblGrid>
      <w:tr w:rsidR="00D034B8" w:rsidRPr="00D034B8" w:rsidTr="001355E9">
        <w:tc>
          <w:tcPr>
            <w:tcW w:w="182" w:type="dxa"/>
            <w:tcBorders>
              <w:top w:val="nil"/>
              <w:left w:val="nil"/>
              <w:bottom w:val="nil"/>
              <w:right w:val="nil"/>
            </w:tcBorders>
            <w:vAlign w:val="bottom"/>
          </w:tcPr>
          <w:p w:rsidR="00D034B8" w:rsidRPr="00D034B8" w:rsidRDefault="00D034B8" w:rsidP="00D034B8">
            <w:pPr>
              <w:jc w:val="right"/>
              <w:rPr>
                <w:rFonts w:eastAsiaTheme="minorEastAsia"/>
                <w:sz w:val="24"/>
                <w:szCs w:val="24"/>
              </w:rPr>
            </w:pPr>
            <w:r w:rsidRPr="00D034B8">
              <w:rPr>
                <w:rFonts w:eastAsiaTheme="minorEastAsia"/>
                <w:sz w:val="24"/>
                <w:szCs w:val="24"/>
              </w:rPr>
              <w:t>“</w:t>
            </w:r>
          </w:p>
        </w:tc>
        <w:tc>
          <w:tcPr>
            <w:tcW w:w="397" w:type="dxa"/>
            <w:tcBorders>
              <w:top w:val="nil"/>
              <w:left w:val="nil"/>
              <w:bottom w:val="single" w:sz="4" w:space="0" w:color="auto"/>
              <w:right w:val="nil"/>
            </w:tcBorders>
            <w:vAlign w:val="bottom"/>
          </w:tcPr>
          <w:p w:rsidR="00D034B8" w:rsidRPr="00D034B8" w:rsidRDefault="00DC4B60" w:rsidP="00D034B8">
            <w:pPr>
              <w:jc w:val="center"/>
              <w:rPr>
                <w:rFonts w:eastAsiaTheme="minorEastAsia"/>
                <w:sz w:val="24"/>
                <w:szCs w:val="24"/>
                <w:lang w:val="en-US"/>
              </w:rPr>
            </w:pPr>
            <w:r>
              <w:rPr>
                <w:rFonts w:eastAsiaTheme="minorEastAsia"/>
                <w:sz w:val="24"/>
                <w:szCs w:val="24"/>
                <w:lang w:val="en-US"/>
              </w:rPr>
              <w:t>28</w:t>
            </w:r>
          </w:p>
        </w:tc>
        <w:tc>
          <w:tcPr>
            <w:tcW w:w="255" w:type="dxa"/>
            <w:tcBorders>
              <w:top w:val="nil"/>
              <w:left w:val="nil"/>
              <w:bottom w:val="nil"/>
              <w:right w:val="nil"/>
            </w:tcBorders>
            <w:vAlign w:val="bottom"/>
          </w:tcPr>
          <w:p w:rsidR="00D034B8" w:rsidRPr="00D034B8" w:rsidRDefault="00D034B8" w:rsidP="00D034B8">
            <w:pPr>
              <w:rPr>
                <w:rFonts w:eastAsiaTheme="minorEastAsia"/>
                <w:sz w:val="24"/>
                <w:szCs w:val="24"/>
              </w:rPr>
            </w:pPr>
            <w:r w:rsidRPr="00D034B8">
              <w:rPr>
                <w:rFonts w:eastAsiaTheme="minorEastAsia"/>
                <w:sz w:val="24"/>
                <w:szCs w:val="24"/>
              </w:rPr>
              <w:t>”</w:t>
            </w:r>
          </w:p>
        </w:tc>
        <w:tc>
          <w:tcPr>
            <w:tcW w:w="1814" w:type="dxa"/>
            <w:tcBorders>
              <w:top w:val="nil"/>
              <w:left w:val="nil"/>
              <w:bottom w:val="single" w:sz="4" w:space="0" w:color="auto"/>
              <w:right w:val="nil"/>
            </w:tcBorders>
            <w:vAlign w:val="bottom"/>
          </w:tcPr>
          <w:p w:rsidR="00D034B8" w:rsidRPr="00D034B8" w:rsidRDefault="00DC4B60" w:rsidP="00D034B8">
            <w:pPr>
              <w:jc w:val="center"/>
              <w:rPr>
                <w:rFonts w:eastAsiaTheme="minorEastAsia"/>
                <w:sz w:val="24"/>
                <w:szCs w:val="24"/>
              </w:rPr>
            </w:pPr>
            <w:r>
              <w:rPr>
                <w:rFonts w:eastAsiaTheme="minorEastAsia"/>
                <w:sz w:val="24"/>
                <w:szCs w:val="24"/>
              </w:rPr>
              <w:t>ноября</w:t>
            </w:r>
          </w:p>
        </w:tc>
        <w:tc>
          <w:tcPr>
            <w:tcW w:w="397" w:type="dxa"/>
            <w:tcBorders>
              <w:top w:val="nil"/>
              <w:left w:val="nil"/>
              <w:bottom w:val="nil"/>
              <w:right w:val="nil"/>
            </w:tcBorders>
            <w:vAlign w:val="bottom"/>
          </w:tcPr>
          <w:p w:rsidR="00D034B8" w:rsidRPr="00D034B8" w:rsidRDefault="00D034B8" w:rsidP="00D034B8">
            <w:pPr>
              <w:jc w:val="right"/>
              <w:rPr>
                <w:rFonts w:eastAsiaTheme="minorEastAsia"/>
                <w:sz w:val="24"/>
                <w:szCs w:val="24"/>
              </w:rPr>
            </w:pPr>
            <w:r w:rsidRPr="00D034B8">
              <w:rPr>
                <w:rFonts w:eastAsiaTheme="minorEastAsia"/>
                <w:sz w:val="24"/>
                <w:szCs w:val="24"/>
              </w:rPr>
              <w:t>20</w:t>
            </w:r>
          </w:p>
        </w:tc>
        <w:tc>
          <w:tcPr>
            <w:tcW w:w="397" w:type="dxa"/>
            <w:tcBorders>
              <w:top w:val="nil"/>
              <w:left w:val="nil"/>
              <w:bottom w:val="single" w:sz="4" w:space="0" w:color="auto"/>
              <w:right w:val="nil"/>
            </w:tcBorders>
            <w:vAlign w:val="bottom"/>
          </w:tcPr>
          <w:p w:rsidR="00D034B8" w:rsidRPr="00D034B8" w:rsidRDefault="00DC4B60" w:rsidP="00D034B8">
            <w:pPr>
              <w:rPr>
                <w:rFonts w:eastAsiaTheme="minorEastAsia"/>
                <w:sz w:val="24"/>
                <w:szCs w:val="24"/>
              </w:rPr>
            </w:pPr>
            <w:r>
              <w:rPr>
                <w:rFonts w:eastAsiaTheme="minorEastAsia"/>
                <w:sz w:val="24"/>
                <w:szCs w:val="24"/>
              </w:rPr>
              <w:t>19</w:t>
            </w:r>
          </w:p>
        </w:tc>
        <w:tc>
          <w:tcPr>
            <w:tcW w:w="737" w:type="dxa"/>
            <w:tcBorders>
              <w:top w:val="nil"/>
              <w:left w:val="nil"/>
              <w:bottom w:val="nil"/>
              <w:right w:val="nil"/>
            </w:tcBorders>
            <w:vAlign w:val="bottom"/>
          </w:tcPr>
          <w:p w:rsidR="00D034B8" w:rsidRPr="00D034B8" w:rsidRDefault="00D034B8" w:rsidP="00D034B8">
            <w:pPr>
              <w:ind w:left="57"/>
              <w:rPr>
                <w:rFonts w:eastAsiaTheme="minorEastAsia"/>
                <w:sz w:val="24"/>
                <w:szCs w:val="24"/>
              </w:rPr>
            </w:pPr>
            <w:r w:rsidRPr="00D034B8">
              <w:rPr>
                <w:rFonts w:eastAsiaTheme="minorEastAsia"/>
                <w:sz w:val="24"/>
                <w:szCs w:val="24"/>
              </w:rPr>
              <w:t>года.</w:t>
            </w:r>
          </w:p>
        </w:tc>
      </w:tr>
    </w:tbl>
    <w:p w:rsidR="00D034B8" w:rsidRPr="00D034B8" w:rsidRDefault="00D034B8" w:rsidP="00F00BFD">
      <w:pPr>
        <w:spacing w:before="240"/>
        <w:ind w:firstLine="567"/>
        <w:rPr>
          <w:rFonts w:eastAsiaTheme="minorEastAsia"/>
          <w:sz w:val="24"/>
          <w:szCs w:val="24"/>
        </w:rPr>
      </w:pPr>
      <w:r w:rsidRPr="00D034B8">
        <w:rPr>
          <w:rFonts w:eastAsiaTheme="minorEastAsia"/>
          <w:sz w:val="24"/>
          <w:szCs w:val="24"/>
        </w:rPr>
        <w:t>Изменения вносятся по решению, принятому</w:t>
      </w:r>
    </w:p>
    <w:tbl>
      <w:tblPr>
        <w:tblW w:w="0" w:type="auto"/>
        <w:tblLayout w:type="fixed"/>
        <w:tblCellMar>
          <w:left w:w="28" w:type="dxa"/>
          <w:right w:w="28" w:type="dxa"/>
        </w:tblCellMar>
        <w:tblLook w:val="0000" w:firstRow="0" w:lastRow="0" w:firstColumn="0" w:lastColumn="0" w:noHBand="0" w:noVBand="0"/>
      </w:tblPr>
      <w:tblGrid>
        <w:gridCol w:w="181"/>
        <w:gridCol w:w="397"/>
        <w:gridCol w:w="255"/>
        <w:gridCol w:w="1418"/>
        <w:gridCol w:w="397"/>
        <w:gridCol w:w="397"/>
        <w:gridCol w:w="624"/>
        <w:gridCol w:w="6180"/>
        <w:gridCol w:w="227"/>
      </w:tblGrid>
      <w:tr w:rsidR="00D034B8" w:rsidRPr="00D034B8" w:rsidTr="001355E9">
        <w:tc>
          <w:tcPr>
            <w:tcW w:w="181" w:type="dxa"/>
            <w:tcBorders>
              <w:top w:val="nil"/>
              <w:left w:val="nil"/>
              <w:bottom w:val="nil"/>
              <w:right w:val="nil"/>
            </w:tcBorders>
            <w:vAlign w:val="bottom"/>
          </w:tcPr>
          <w:p w:rsidR="00D034B8" w:rsidRPr="00D034B8" w:rsidRDefault="00D034B8" w:rsidP="00D034B8">
            <w:pPr>
              <w:jc w:val="right"/>
              <w:rPr>
                <w:rFonts w:eastAsiaTheme="minorEastAsia"/>
                <w:sz w:val="24"/>
                <w:szCs w:val="24"/>
              </w:rPr>
            </w:pPr>
            <w:r w:rsidRPr="00D034B8">
              <w:rPr>
                <w:rFonts w:eastAsiaTheme="minorEastAsia"/>
                <w:sz w:val="24"/>
                <w:szCs w:val="24"/>
              </w:rPr>
              <w:t>“</w:t>
            </w:r>
          </w:p>
        </w:tc>
        <w:tc>
          <w:tcPr>
            <w:tcW w:w="397" w:type="dxa"/>
            <w:tcBorders>
              <w:top w:val="nil"/>
              <w:left w:val="nil"/>
              <w:bottom w:val="single" w:sz="4" w:space="0" w:color="auto"/>
              <w:right w:val="nil"/>
            </w:tcBorders>
            <w:vAlign w:val="bottom"/>
          </w:tcPr>
          <w:p w:rsidR="00D034B8" w:rsidRPr="00D034B8" w:rsidRDefault="00F00BFD" w:rsidP="00D034B8">
            <w:pPr>
              <w:jc w:val="center"/>
              <w:rPr>
                <w:rFonts w:eastAsiaTheme="minorEastAsia"/>
                <w:sz w:val="24"/>
                <w:szCs w:val="24"/>
                <w:lang w:val="en-US"/>
              </w:rPr>
            </w:pPr>
            <w:r>
              <w:rPr>
                <w:rFonts w:eastAsiaTheme="minorEastAsia"/>
                <w:sz w:val="24"/>
                <w:szCs w:val="24"/>
                <w:lang w:val="en-US"/>
              </w:rPr>
              <w:t>18</w:t>
            </w:r>
          </w:p>
        </w:tc>
        <w:tc>
          <w:tcPr>
            <w:tcW w:w="255" w:type="dxa"/>
            <w:tcBorders>
              <w:top w:val="nil"/>
              <w:left w:val="nil"/>
              <w:bottom w:val="nil"/>
              <w:right w:val="nil"/>
            </w:tcBorders>
            <w:vAlign w:val="bottom"/>
          </w:tcPr>
          <w:p w:rsidR="00D034B8" w:rsidRPr="00D034B8" w:rsidRDefault="00D034B8" w:rsidP="00D034B8">
            <w:pPr>
              <w:rPr>
                <w:rFonts w:eastAsiaTheme="minorEastAsia"/>
                <w:sz w:val="24"/>
                <w:szCs w:val="24"/>
              </w:rPr>
            </w:pPr>
            <w:r w:rsidRPr="00D034B8">
              <w:rPr>
                <w:rFonts w:eastAsiaTheme="minorEastAsia"/>
                <w:sz w:val="24"/>
                <w:szCs w:val="24"/>
              </w:rPr>
              <w:t>”</w:t>
            </w:r>
          </w:p>
        </w:tc>
        <w:tc>
          <w:tcPr>
            <w:tcW w:w="1418" w:type="dxa"/>
            <w:tcBorders>
              <w:top w:val="nil"/>
              <w:left w:val="nil"/>
              <w:bottom w:val="single" w:sz="4" w:space="0" w:color="auto"/>
              <w:right w:val="nil"/>
            </w:tcBorders>
            <w:vAlign w:val="bottom"/>
          </w:tcPr>
          <w:p w:rsidR="00D034B8" w:rsidRPr="00F00BFD" w:rsidRDefault="00F00BFD" w:rsidP="00D034B8">
            <w:pPr>
              <w:jc w:val="center"/>
              <w:rPr>
                <w:rFonts w:eastAsiaTheme="minorEastAsia"/>
                <w:sz w:val="24"/>
                <w:szCs w:val="24"/>
              </w:rPr>
            </w:pPr>
            <w:r>
              <w:rPr>
                <w:rFonts w:eastAsiaTheme="minorEastAsia"/>
                <w:sz w:val="24"/>
                <w:szCs w:val="24"/>
              </w:rPr>
              <w:t>ноября</w:t>
            </w:r>
          </w:p>
        </w:tc>
        <w:tc>
          <w:tcPr>
            <w:tcW w:w="397" w:type="dxa"/>
            <w:tcBorders>
              <w:top w:val="nil"/>
              <w:left w:val="nil"/>
              <w:bottom w:val="nil"/>
              <w:right w:val="nil"/>
            </w:tcBorders>
            <w:vAlign w:val="bottom"/>
          </w:tcPr>
          <w:p w:rsidR="00D034B8" w:rsidRPr="00D034B8" w:rsidRDefault="00D034B8" w:rsidP="00D034B8">
            <w:pPr>
              <w:jc w:val="right"/>
              <w:rPr>
                <w:rFonts w:eastAsiaTheme="minorEastAsia"/>
                <w:sz w:val="24"/>
                <w:szCs w:val="24"/>
              </w:rPr>
            </w:pPr>
            <w:r w:rsidRPr="00D034B8">
              <w:rPr>
                <w:rFonts w:eastAsiaTheme="minorEastAsia"/>
                <w:sz w:val="24"/>
                <w:szCs w:val="24"/>
              </w:rPr>
              <w:t>20</w:t>
            </w:r>
          </w:p>
        </w:tc>
        <w:tc>
          <w:tcPr>
            <w:tcW w:w="397" w:type="dxa"/>
            <w:tcBorders>
              <w:top w:val="nil"/>
              <w:left w:val="nil"/>
              <w:bottom w:val="single" w:sz="4" w:space="0" w:color="auto"/>
              <w:right w:val="nil"/>
            </w:tcBorders>
            <w:vAlign w:val="bottom"/>
          </w:tcPr>
          <w:p w:rsidR="00D034B8" w:rsidRPr="00D034B8" w:rsidRDefault="00D034B8" w:rsidP="00D034B8">
            <w:pPr>
              <w:rPr>
                <w:rFonts w:eastAsiaTheme="minorEastAsia"/>
                <w:sz w:val="24"/>
                <w:szCs w:val="24"/>
                <w:lang w:val="en-US"/>
              </w:rPr>
            </w:pPr>
            <w:r>
              <w:rPr>
                <w:rFonts w:eastAsiaTheme="minorEastAsia"/>
                <w:sz w:val="24"/>
                <w:szCs w:val="24"/>
                <w:lang w:val="en-US"/>
              </w:rPr>
              <w:t>20</w:t>
            </w:r>
          </w:p>
        </w:tc>
        <w:tc>
          <w:tcPr>
            <w:tcW w:w="624" w:type="dxa"/>
            <w:tcBorders>
              <w:top w:val="nil"/>
              <w:left w:val="nil"/>
              <w:bottom w:val="nil"/>
              <w:right w:val="nil"/>
            </w:tcBorders>
            <w:vAlign w:val="bottom"/>
          </w:tcPr>
          <w:p w:rsidR="00D034B8" w:rsidRPr="00D034B8" w:rsidRDefault="00D034B8" w:rsidP="00D034B8">
            <w:pPr>
              <w:ind w:left="57"/>
              <w:rPr>
                <w:rFonts w:eastAsiaTheme="minorEastAsia"/>
                <w:sz w:val="24"/>
                <w:szCs w:val="24"/>
              </w:rPr>
            </w:pPr>
            <w:r w:rsidRPr="00D034B8">
              <w:rPr>
                <w:rFonts w:eastAsiaTheme="minorEastAsia"/>
                <w:sz w:val="24"/>
                <w:szCs w:val="24"/>
              </w:rPr>
              <w:t>года</w:t>
            </w:r>
          </w:p>
        </w:tc>
        <w:tc>
          <w:tcPr>
            <w:tcW w:w="6180" w:type="dxa"/>
            <w:tcBorders>
              <w:top w:val="nil"/>
              <w:left w:val="nil"/>
              <w:bottom w:val="single" w:sz="4" w:space="0" w:color="auto"/>
              <w:right w:val="nil"/>
            </w:tcBorders>
            <w:vAlign w:val="bottom"/>
          </w:tcPr>
          <w:p w:rsidR="00D034B8" w:rsidRPr="00D034B8" w:rsidRDefault="00D034B8" w:rsidP="00786418">
            <w:pPr>
              <w:rPr>
                <w:rFonts w:eastAsiaTheme="minorEastAsia"/>
                <w:sz w:val="24"/>
                <w:szCs w:val="24"/>
              </w:rPr>
            </w:pPr>
            <w:r>
              <w:rPr>
                <w:rFonts w:eastAsiaTheme="minorEastAsia"/>
                <w:sz w:val="24"/>
                <w:szCs w:val="24"/>
              </w:rPr>
              <w:t xml:space="preserve">Наблюдательным советом </w:t>
            </w:r>
            <w:r w:rsidR="00786418">
              <w:rPr>
                <w:rFonts w:eastAsiaTheme="minorEastAsia"/>
                <w:sz w:val="24"/>
                <w:szCs w:val="24"/>
              </w:rPr>
              <w:t>А</w:t>
            </w:r>
            <w:r>
              <w:rPr>
                <w:rFonts w:eastAsiaTheme="minorEastAsia"/>
                <w:sz w:val="24"/>
                <w:szCs w:val="24"/>
              </w:rPr>
              <w:t>О «МСП Банк»</w:t>
            </w:r>
          </w:p>
        </w:tc>
        <w:tc>
          <w:tcPr>
            <w:tcW w:w="227" w:type="dxa"/>
            <w:tcBorders>
              <w:top w:val="nil"/>
              <w:left w:val="nil"/>
              <w:bottom w:val="nil"/>
              <w:right w:val="nil"/>
            </w:tcBorders>
            <w:vAlign w:val="bottom"/>
          </w:tcPr>
          <w:p w:rsidR="00D034B8" w:rsidRPr="00D034B8" w:rsidRDefault="00D034B8" w:rsidP="00D034B8">
            <w:pPr>
              <w:rPr>
                <w:rFonts w:eastAsiaTheme="minorEastAsia"/>
                <w:sz w:val="24"/>
                <w:szCs w:val="24"/>
              </w:rPr>
            </w:pPr>
            <w:r w:rsidRPr="00D034B8">
              <w:rPr>
                <w:rFonts w:eastAsiaTheme="minorEastAsia"/>
                <w:sz w:val="24"/>
                <w:szCs w:val="24"/>
              </w:rPr>
              <w:t>,</w:t>
            </w:r>
          </w:p>
        </w:tc>
      </w:tr>
    </w:tbl>
    <w:p w:rsidR="00D034B8" w:rsidRPr="00D034B8" w:rsidRDefault="00D034B8" w:rsidP="00D034B8">
      <w:pPr>
        <w:spacing w:after="60"/>
        <w:ind w:left="113" w:right="113"/>
        <w:jc w:val="center"/>
        <w:rPr>
          <w:rFonts w:eastAsiaTheme="minorEastAsia"/>
        </w:rPr>
      </w:pPr>
      <w:r w:rsidRPr="00D034B8">
        <w:rPr>
          <w:rFonts w:eastAsiaTheme="minorEastAsia"/>
        </w:rPr>
        <w:t>(указывается дата принятия решения о внесении изменений и орган управления кредитной организации – эмитента (кредитной организации, реорганизуемой в форме слияния, разделения, выделения, преобразования), по решению которого вносятся изменения в решение о выпуске (дополнительном выпуске) ценных бумаг)</w:t>
      </w:r>
    </w:p>
    <w:tbl>
      <w:tblPr>
        <w:tblW w:w="0" w:type="auto"/>
        <w:tblLayout w:type="fixed"/>
        <w:tblCellMar>
          <w:left w:w="28" w:type="dxa"/>
          <w:right w:w="28" w:type="dxa"/>
        </w:tblCellMar>
        <w:tblLook w:val="0000" w:firstRow="0" w:lastRow="0" w:firstColumn="0" w:lastColumn="0" w:noHBand="0" w:noVBand="0"/>
      </w:tblPr>
      <w:tblGrid>
        <w:gridCol w:w="1389"/>
        <w:gridCol w:w="1985"/>
        <w:gridCol w:w="510"/>
        <w:gridCol w:w="397"/>
        <w:gridCol w:w="255"/>
        <w:gridCol w:w="1418"/>
        <w:gridCol w:w="397"/>
        <w:gridCol w:w="397"/>
        <w:gridCol w:w="708"/>
      </w:tblGrid>
      <w:tr w:rsidR="00D034B8" w:rsidRPr="00D034B8" w:rsidTr="001355E9">
        <w:tc>
          <w:tcPr>
            <w:tcW w:w="1389" w:type="dxa"/>
            <w:tcBorders>
              <w:top w:val="nil"/>
              <w:left w:val="nil"/>
              <w:bottom w:val="nil"/>
              <w:right w:val="nil"/>
            </w:tcBorders>
          </w:tcPr>
          <w:p w:rsidR="00D034B8" w:rsidRPr="00D034B8" w:rsidRDefault="00D034B8" w:rsidP="00D034B8">
            <w:pPr>
              <w:rPr>
                <w:rFonts w:eastAsiaTheme="minorEastAsia"/>
                <w:sz w:val="24"/>
                <w:szCs w:val="24"/>
              </w:rPr>
            </w:pPr>
            <w:r w:rsidRPr="00D034B8">
              <w:rPr>
                <w:rFonts w:eastAsiaTheme="minorEastAsia"/>
                <w:sz w:val="24"/>
                <w:szCs w:val="24"/>
              </w:rPr>
              <w:t>протокол №</w:t>
            </w:r>
          </w:p>
        </w:tc>
        <w:tc>
          <w:tcPr>
            <w:tcW w:w="1985" w:type="dxa"/>
            <w:tcBorders>
              <w:top w:val="nil"/>
              <w:left w:val="nil"/>
              <w:bottom w:val="single" w:sz="4" w:space="0" w:color="auto"/>
              <w:right w:val="nil"/>
            </w:tcBorders>
            <w:vAlign w:val="bottom"/>
          </w:tcPr>
          <w:p w:rsidR="00D034B8" w:rsidRPr="00F00BFD" w:rsidRDefault="00F00BFD" w:rsidP="00D034B8">
            <w:pPr>
              <w:jc w:val="center"/>
              <w:rPr>
                <w:rFonts w:eastAsiaTheme="minorEastAsia"/>
                <w:sz w:val="24"/>
                <w:szCs w:val="24"/>
              </w:rPr>
            </w:pPr>
            <w:r>
              <w:rPr>
                <w:rFonts w:eastAsiaTheme="minorEastAsia"/>
                <w:sz w:val="24"/>
                <w:szCs w:val="24"/>
              </w:rPr>
              <w:t>197</w:t>
            </w:r>
          </w:p>
        </w:tc>
        <w:tc>
          <w:tcPr>
            <w:tcW w:w="510" w:type="dxa"/>
            <w:tcBorders>
              <w:top w:val="nil"/>
              <w:left w:val="nil"/>
              <w:bottom w:val="nil"/>
              <w:right w:val="nil"/>
            </w:tcBorders>
            <w:vAlign w:val="bottom"/>
          </w:tcPr>
          <w:p w:rsidR="00D034B8" w:rsidRPr="00D034B8" w:rsidRDefault="00D034B8" w:rsidP="00D034B8">
            <w:pPr>
              <w:jc w:val="right"/>
              <w:rPr>
                <w:rFonts w:eastAsiaTheme="minorEastAsia"/>
                <w:sz w:val="24"/>
                <w:szCs w:val="24"/>
              </w:rPr>
            </w:pPr>
            <w:r w:rsidRPr="00D034B8">
              <w:rPr>
                <w:rFonts w:eastAsiaTheme="minorEastAsia"/>
                <w:sz w:val="24"/>
                <w:szCs w:val="24"/>
              </w:rPr>
              <w:t>от “</w:t>
            </w:r>
          </w:p>
        </w:tc>
        <w:tc>
          <w:tcPr>
            <w:tcW w:w="397" w:type="dxa"/>
            <w:tcBorders>
              <w:top w:val="nil"/>
              <w:left w:val="nil"/>
              <w:bottom w:val="single" w:sz="4" w:space="0" w:color="auto"/>
              <w:right w:val="nil"/>
            </w:tcBorders>
            <w:vAlign w:val="bottom"/>
          </w:tcPr>
          <w:p w:rsidR="00D034B8" w:rsidRPr="00F00BFD" w:rsidRDefault="00F00BFD" w:rsidP="00D034B8">
            <w:pPr>
              <w:jc w:val="center"/>
              <w:rPr>
                <w:rFonts w:eastAsiaTheme="minorEastAsia"/>
                <w:sz w:val="24"/>
                <w:szCs w:val="24"/>
              </w:rPr>
            </w:pPr>
            <w:r>
              <w:rPr>
                <w:rFonts w:eastAsiaTheme="minorEastAsia"/>
                <w:sz w:val="24"/>
                <w:szCs w:val="24"/>
              </w:rPr>
              <w:t>18</w:t>
            </w:r>
          </w:p>
        </w:tc>
        <w:tc>
          <w:tcPr>
            <w:tcW w:w="255" w:type="dxa"/>
            <w:tcBorders>
              <w:top w:val="nil"/>
              <w:left w:val="nil"/>
              <w:bottom w:val="nil"/>
              <w:right w:val="nil"/>
            </w:tcBorders>
            <w:vAlign w:val="bottom"/>
          </w:tcPr>
          <w:p w:rsidR="00D034B8" w:rsidRPr="00D034B8" w:rsidRDefault="00D034B8" w:rsidP="00D034B8">
            <w:pPr>
              <w:rPr>
                <w:rFonts w:eastAsiaTheme="minorEastAsia"/>
                <w:sz w:val="24"/>
                <w:szCs w:val="24"/>
              </w:rPr>
            </w:pPr>
            <w:r w:rsidRPr="00D034B8">
              <w:rPr>
                <w:rFonts w:eastAsiaTheme="minorEastAsia"/>
                <w:sz w:val="24"/>
                <w:szCs w:val="24"/>
              </w:rPr>
              <w:t>”</w:t>
            </w:r>
          </w:p>
        </w:tc>
        <w:tc>
          <w:tcPr>
            <w:tcW w:w="1418" w:type="dxa"/>
            <w:tcBorders>
              <w:top w:val="nil"/>
              <w:left w:val="nil"/>
              <w:bottom w:val="single" w:sz="4" w:space="0" w:color="auto"/>
              <w:right w:val="nil"/>
            </w:tcBorders>
            <w:vAlign w:val="bottom"/>
          </w:tcPr>
          <w:p w:rsidR="00D034B8" w:rsidRPr="00F00BFD" w:rsidRDefault="00F00BFD" w:rsidP="00D034B8">
            <w:pPr>
              <w:jc w:val="center"/>
              <w:rPr>
                <w:rFonts w:eastAsiaTheme="minorEastAsia"/>
                <w:sz w:val="24"/>
                <w:szCs w:val="24"/>
              </w:rPr>
            </w:pPr>
            <w:r>
              <w:rPr>
                <w:rFonts w:eastAsiaTheme="minorEastAsia"/>
                <w:sz w:val="24"/>
                <w:szCs w:val="24"/>
              </w:rPr>
              <w:t>ноября</w:t>
            </w:r>
          </w:p>
        </w:tc>
        <w:tc>
          <w:tcPr>
            <w:tcW w:w="397" w:type="dxa"/>
            <w:tcBorders>
              <w:top w:val="nil"/>
              <w:left w:val="nil"/>
              <w:bottom w:val="nil"/>
              <w:right w:val="nil"/>
            </w:tcBorders>
            <w:vAlign w:val="bottom"/>
          </w:tcPr>
          <w:p w:rsidR="00D034B8" w:rsidRPr="00D034B8" w:rsidRDefault="00D034B8" w:rsidP="00D034B8">
            <w:pPr>
              <w:jc w:val="right"/>
              <w:rPr>
                <w:rFonts w:eastAsiaTheme="minorEastAsia"/>
                <w:sz w:val="24"/>
                <w:szCs w:val="24"/>
              </w:rPr>
            </w:pPr>
            <w:r w:rsidRPr="00D034B8">
              <w:rPr>
                <w:rFonts w:eastAsiaTheme="minorEastAsia"/>
                <w:sz w:val="24"/>
                <w:szCs w:val="24"/>
              </w:rPr>
              <w:t>20</w:t>
            </w:r>
          </w:p>
        </w:tc>
        <w:tc>
          <w:tcPr>
            <w:tcW w:w="397" w:type="dxa"/>
            <w:tcBorders>
              <w:top w:val="nil"/>
              <w:left w:val="nil"/>
              <w:bottom w:val="single" w:sz="4" w:space="0" w:color="auto"/>
              <w:right w:val="nil"/>
            </w:tcBorders>
            <w:vAlign w:val="bottom"/>
          </w:tcPr>
          <w:p w:rsidR="00D034B8" w:rsidRPr="00D034B8" w:rsidRDefault="00D034B8" w:rsidP="00D034B8">
            <w:pPr>
              <w:rPr>
                <w:rFonts w:eastAsiaTheme="minorEastAsia"/>
                <w:sz w:val="24"/>
                <w:szCs w:val="24"/>
                <w:lang w:val="en-US"/>
              </w:rPr>
            </w:pPr>
            <w:r>
              <w:rPr>
                <w:rFonts w:eastAsiaTheme="minorEastAsia"/>
                <w:sz w:val="24"/>
                <w:szCs w:val="24"/>
                <w:lang w:val="en-US"/>
              </w:rPr>
              <w:t>20</w:t>
            </w:r>
          </w:p>
        </w:tc>
        <w:tc>
          <w:tcPr>
            <w:tcW w:w="708" w:type="dxa"/>
            <w:tcBorders>
              <w:top w:val="nil"/>
              <w:left w:val="nil"/>
              <w:bottom w:val="nil"/>
              <w:right w:val="nil"/>
            </w:tcBorders>
            <w:vAlign w:val="bottom"/>
          </w:tcPr>
          <w:p w:rsidR="00D034B8" w:rsidRPr="00D034B8" w:rsidRDefault="00D034B8" w:rsidP="00D034B8">
            <w:pPr>
              <w:ind w:left="57"/>
              <w:rPr>
                <w:rFonts w:eastAsiaTheme="minorEastAsia"/>
                <w:sz w:val="24"/>
                <w:szCs w:val="24"/>
              </w:rPr>
            </w:pPr>
            <w:r w:rsidRPr="00D034B8">
              <w:rPr>
                <w:rFonts w:eastAsiaTheme="minorEastAsia"/>
                <w:sz w:val="24"/>
                <w:szCs w:val="24"/>
              </w:rPr>
              <w:t>года,</w:t>
            </w:r>
          </w:p>
        </w:tc>
      </w:tr>
    </w:tbl>
    <w:p w:rsidR="00D034B8" w:rsidRPr="00D034B8" w:rsidRDefault="00D034B8" w:rsidP="00D034B8">
      <w:pPr>
        <w:spacing w:after="240"/>
        <w:ind w:left="1389"/>
        <w:rPr>
          <w:rFonts w:eastAsiaTheme="minorEastAsia"/>
        </w:rPr>
      </w:pPr>
      <w:r w:rsidRPr="00D034B8">
        <w:rPr>
          <w:rFonts w:eastAsiaTheme="minorEastAsia"/>
        </w:rPr>
        <w:t>(указываются номер протокола и дата составления протокола)</w:t>
      </w:r>
    </w:p>
    <w:p w:rsidR="00D034B8" w:rsidRPr="00D034B8" w:rsidRDefault="00D034B8" w:rsidP="00D034B8">
      <w:pPr>
        <w:rPr>
          <w:rFonts w:eastAsiaTheme="minorEastAsia"/>
          <w:sz w:val="24"/>
          <w:szCs w:val="24"/>
        </w:rPr>
      </w:pPr>
      <w:r w:rsidRPr="00F00BFD">
        <w:rPr>
          <w:rFonts w:eastAsiaTheme="minorEastAsia"/>
          <w:sz w:val="24"/>
          <w:szCs w:val="24"/>
        </w:rPr>
        <w:t>а также по решению, принятому</w:t>
      </w:r>
    </w:p>
    <w:tbl>
      <w:tblPr>
        <w:tblW w:w="0" w:type="auto"/>
        <w:tblLayout w:type="fixed"/>
        <w:tblCellMar>
          <w:left w:w="28" w:type="dxa"/>
          <w:right w:w="28" w:type="dxa"/>
        </w:tblCellMar>
        <w:tblLook w:val="0000" w:firstRow="0" w:lastRow="0" w:firstColumn="0" w:lastColumn="0" w:noHBand="0" w:noVBand="0"/>
      </w:tblPr>
      <w:tblGrid>
        <w:gridCol w:w="181"/>
        <w:gridCol w:w="397"/>
        <w:gridCol w:w="255"/>
        <w:gridCol w:w="1418"/>
        <w:gridCol w:w="397"/>
        <w:gridCol w:w="397"/>
        <w:gridCol w:w="624"/>
        <w:gridCol w:w="6180"/>
        <w:gridCol w:w="227"/>
      </w:tblGrid>
      <w:tr w:rsidR="00D034B8" w:rsidRPr="00D034B8" w:rsidTr="001355E9">
        <w:tc>
          <w:tcPr>
            <w:tcW w:w="181" w:type="dxa"/>
            <w:tcBorders>
              <w:top w:val="nil"/>
              <w:left w:val="nil"/>
              <w:bottom w:val="nil"/>
              <w:right w:val="nil"/>
            </w:tcBorders>
            <w:vAlign w:val="bottom"/>
          </w:tcPr>
          <w:p w:rsidR="00D034B8" w:rsidRPr="00D034B8" w:rsidRDefault="00D034B8" w:rsidP="00D034B8">
            <w:pPr>
              <w:jc w:val="right"/>
              <w:rPr>
                <w:rFonts w:eastAsiaTheme="minorEastAsia"/>
                <w:sz w:val="24"/>
                <w:szCs w:val="24"/>
              </w:rPr>
            </w:pPr>
            <w:r w:rsidRPr="00D034B8">
              <w:rPr>
                <w:rFonts w:eastAsiaTheme="minorEastAsia"/>
                <w:sz w:val="24"/>
                <w:szCs w:val="24"/>
              </w:rPr>
              <w:t>“</w:t>
            </w:r>
          </w:p>
        </w:tc>
        <w:tc>
          <w:tcPr>
            <w:tcW w:w="397" w:type="dxa"/>
            <w:tcBorders>
              <w:top w:val="nil"/>
              <w:left w:val="nil"/>
              <w:bottom w:val="single" w:sz="4" w:space="0" w:color="auto"/>
              <w:right w:val="nil"/>
            </w:tcBorders>
            <w:vAlign w:val="bottom"/>
          </w:tcPr>
          <w:p w:rsidR="00D034B8" w:rsidRPr="00F00BFD" w:rsidRDefault="00F00BFD" w:rsidP="00D034B8">
            <w:pPr>
              <w:jc w:val="center"/>
              <w:rPr>
                <w:rFonts w:eastAsiaTheme="minorEastAsia"/>
                <w:sz w:val="24"/>
                <w:szCs w:val="24"/>
              </w:rPr>
            </w:pPr>
            <w:r>
              <w:rPr>
                <w:rFonts w:eastAsiaTheme="minorEastAsia"/>
                <w:sz w:val="24"/>
                <w:szCs w:val="24"/>
              </w:rPr>
              <w:t>18</w:t>
            </w:r>
          </w:p>
        </w:tc>
        <w:tc>
          <w:tcPr>
            <w:tcW w:w="255" w:type="dxa"/>
            <w:tcBorders>
              <w:top w:val="nil"/>
              <w:left w:val="nil"/>
              <w:bottom w:val="nil"/>
              <w:right w:val="nil"/>
            </w:tcBorders>
            <w:vAlign w:val="bottom"/>
          </w:tcPr>
          <w:p w:rsidR="00D034B8" w:rsidRPr="00D034B8" w:rsidRDefault="00D034B8" w:rsidP="00D034B8">
            <w:pPr>
              <w:rPr>
                <w:rFonts w:eastAsiaTheme="minorEastAsia"/>
                <w:sz w:val="24"/>
                <w:szCs w:val="24"/>
              </w:rPr>
            </w:pPr>
            <w:r w:rsidRPr="00D034B8">
              <w:rPr>
                <w:rFonts w:eastAsiaTheme="minorEastAsia"/>
                <w:sz w:val="24"/>
                <w:szCs w:val="24"/>
              </w:rPr>
              <w:t>”</w:t>
            </w:r>
          </w:p>
        </w:tc>
        <w:tc>
          <w:tcPr>
            <w:tcW w:w="1418" w:type="dxa"/>
            <w:tcBorders>
              <w:top w:val="nil"/>
              <w:left w:val="nil"/>
              <w:bottom w:val="single" w:sz="4" w:space="0" w:color="auto"/>
              <w:right w:val="nil"/>
            </w:tcBorders>
            <w:vAlign w:val="bottom"/>
          </w:tcPr>
          <w:p w:rsidR="00D034B8" w:rsidRPr="00F00BFD" w:rsidRDefault="00F00BFD" w:rsidP="00D034B8">
            <w:pPr>
              <w:jc w:val="center"/>
              <w:rPr>
                <w:rFonts w:eastAsiaTheme="minorEastAsia"/>
                <w:sz w:val="24"/>
                <w:szCs w:val="24"/>
              </w:rPr>
            </w:pPr>
            <w:r>
              <w:rPr>
                <w:rFonts w:eastAsiaTheme="minorEastAsia"/>
                <w:sz w:val="24"/>
                <w:szCs w:val="24"/>
              </w:rPr>
              <w:t>ноября</w:t>
            </w:r>
          </w:p>
        </w:tc>
        <w:tc>
          <w:tcPr>
            <w:tcW w:w="397" w:type="dxa"/>
            <w:tcBorders>
              <w:top w:val="nil"/>
              <w:left w:val="nil"/>
              <w:bottom w:val="nil"/>
              <w:right w:val="nil"/>
            </w:tcBorders>
            <w:vAlign w:val="bottom"/>
          </w:tcPr>
          <w:p w:rsidR="00D034B8" w:rsidRPr="00D034B8" w:rsidRDefault="00D034B8" w:rsidP="00D034B8">
            <w:pPr>
              <w:jc w:val="right"/>
              <w:rPr>
                <w:rFonts w:eastAsiaTheme="minorEastAsia"/>
                <w:sz w:val="24"/>
                <w:szCs w:val="24"/>
              </w:rPr>
            </w:pPr>
            <w:r w:rsidRPr="00D034B8">
              <w:rPr>
                <w:rFonts w:eastAsiaTheme="minorEastAsia"/>
                <w:sz w:val="24"/>
                <w:szCs w:val="24"/>
              </w:rPr>
              <w:t>20</w:t>
            </w:r>
          </w:p>
        </w:tc>
        <w:tc>
          <w:tcPr>
            <w:tcW w:w="397" w:type="dxa"/>
            <w:tcBorders>
              <w:top w:val="nil"/>
              <w:left w:val="nil"/>
              <w:bottom w:val="single" w:sz="4" w:space="0" w:color="auto"/>
              <w:right w:val="nil"/>
            </w:tcBorders>
            <w:vAlign w:val="bottom"/>
          </w:tcPr>
          <w:p w:rsidR="00D034B8" w:rsidRPr="00D034B8" w:rsidRDefault="00243961" w:rsidP="00D034B8">
            <w:pPr>
              <w:rPr>
                <w:rFonts w:eastAsiaTheme="minorEastAsia"/>
                <w:sz w:val="24"/>
                <w:szCs w:val="24"/>
              </w:rPr>
            </w:pPr>
            <w:r w:rsidRPr="00243961">
              <w:rPr>
                <w:rFonts w:eastAsiaTheme="minorEastAsia"/>
                <w:sz w:val="24"/>
                <w:szCs w:val="24"/>
                <w:lang w:val="en-US"/>
              </w:rPr>
              <w:t>20</w:t>
            </w:r>
          </w:p>
        </w:tc>
        <w:tc>
          <w:tcPr>
            <w:tcW w:w="624" w:type="dxa"/>
            <w:tcBorders>
              <w:top w:val="nil"/>
              <w:left w:val="nil"/>
              <w:bottom w:val="nil"/>
              <w:right w:val="nil"/>
            </w:tcBorders>
            <w:vAlign w:val="bottom"/>
          </w:tcPr>
          <w:p w:rsidR="00D034B8" w:rsidRPr="00D034B8" w:rsidRDefault="00D034B8" w:rsidP="00D034B8">
            <w:pPr>
              <w:ind w:left="57"/>
              <w:rPr>
                <w:rFonts w:eastAsiaTheme="minorEastAsia"/>
                <w:sz w:val="24"/>
                <w:szCs w:val="24"/>
              </w:rPr>
            </w:pPr>
            <w:r w:rsidRPr="00D034B8">
              <w:rPr>
                <w:rFonts w:eastAsiaTheme="minorEastAsia"/>
                <w:sz w:val="24"/>
                <w:szCs w:val="24"/>
              </w:rPr>
              <w:t>года</w:t>
            </w:r>
          </w:p>
        </w:tc>
        <w:tc>
          <w:tcPr>
            <w:tcW w:w="6180" w:type="dxa"/>
            <w:tcBorders>
              <w:top w:val="nil"/>
              <w:left w:val="nil"/>
              <w:bottom w:val="single" w:sz="4" w:space="0" w:color="auto"/>
              <w:right w:val="nil"/>
            </w:tcBorders>
            <w:vAlign w:val="bottom"/>
          </w:tcPr>
          <w:p w:rsidR="00D034B8" w:rsidRPr="00D034B8" w:rsidRDefault="00243961" w:rsidP="00786418">
            <w:pPr>
              <w:rPr>
                <w:rFonts w:eastAsiaTheme="minorEastAsia"/>
                <w:sz w:val="24"/>
                <w:szCs w:val="24"/>
              </w:rPr>
            </w:pPr>
            <w:r>
              <w:rPr>
                <w:rFonts w:eastAsiaTheme="minorEastAsia"/>
                <w:sz w:val="24"/>
                <w:szCs w:val="24"/>
              </w:rPr>
              <w:t xml:space="preserve">Наблюдательным советом </w:t>
            </w:r>
            <w:r w:rsidR="00786418">
              <w:rPr>
                <w:rFonts w:eastAsiaTheme="minorEastAsia"/>
                <w:sz w:val="24"/>
                <w:szCs w:val="24"/>
              </w:rPr>
              <w:t>А</w:t>
            </w:r>
            <w:r>
              <w:rPr>
                <w:rFonts w:eastAsiaTheme="minorEastAsia"/>
                <w:sz w:val="24"/>
                <w:szCs w:val="24"/>
              </w:rPr>
              <w:t>О «МСП Банк»</w:t>
            </w:r>
          </w:p>
        </w:tc>
        <w:tc>
          <w:tcPr>
            <w:tcW w:w="227" w:type="dxa"/>
            <w:tcBorders>
              <w:top w:val="nil"/>
              <w:left w:val="nil"/>
              <w:bottom w:val="nil"/>
              <w:right w:val="nil"/>
            </w:tcBorders>
            <w:vAlign w:val="bottom"/>
          </w:tcPr>
          <w:p w:rsidR="00D034B8" w:rsidRPr="00D034B8" w:rsidRDefault="00D034B8" w:rsidP="00D034B8">
            <w:pPr>
              <w:rPr>
                <w:rFonts w:eastAsiaTheme="minorEastAsia"/>
                <w:sz w:val="24"/>
                <w:szCs w:val="24"/>
              </w:rPr>
            </w:pPr>
            <w:r w:rsidRPr="00D034B8">
              <w:rPr>
                <w:rFonts w:eastAsiaTheme="minorEastAsia"/>
                <w:sz w:val="24"/>
                <w:szCs w:val="24"/>
              </w:rPr>
              <w:t>,</w:t>
            </w:r>
          </w:p>
        </w:tc>
      </w:tr>
    </w:tbl>
    <w:p w:rsidR="00D034B8" w:rsidRPr="00D034B8" w:rsidRDefault="00D034B8" w:rsidP="00D034B8">
      <w:pPr>
        <w:spacing w:after="60"/>
        <w:jc w:val="center"/>
        <w:rPr>
          <w:rFonts w:eastAsiaTheme="minorEastAsia"/>
        </w:rPr>
      </w:pPr>
      <w:r w:rsidRPr="00D034B8">
        <w:rPr>
          <w:rFonts w:eastAsiaTheme="minorEastAsia"/>
        </w:rPr>
        <w:t>(указывается дата принятия решения о внесении изменений, затрагивающих условия, определенные решением</w:t>
      </w:r>
      <w:r w:rsidRPr="00D034B8">
        <w:rPr>
          <w:rFonts w:eastAsiaTheme="minorEastAsia"/>
        </w:rPr>
        <w:br/>
        <w:t>о размещении ценных бумаг, и орган управления кредитной организации – эмитента (кредитной организации, реорганизуемой в форме слияния, разделения, выделения, преобразования), к компетенции которого отнесено принятие решения о размещении ценных бумаг, по решению которого вносятся изменения, затрагивающие условия, определенные решением о размещении ценных бумаг)</w:t>
      </w:r>
    </w:p>
    <w:tbl>
      <w:tblPr>
        <w:tblW w:w="0" w:type="auto"/>
        <w:tblLayout w:type="fixed"/>
        <w:tblCellMar>
          <w:left w:w="28" w:type="dxa"/>
          <w:right w:w="28" w:type="dxa"/>
        </w:tblCellMar>
        <w:tblLook w:val="0000" w:firstRow="0" w:lastRow="0" w:firstColumn="0" w:lastColumn="0" w:noHBand="0" w:noVBand="0"/>
      </w:tblPr>
      <w:tblGrid>
        <w:gridCol w:w="1389"/>
        <w:gridCol w:w="1985"/>
        <w:gridCol w:w="510"/>
        <w:gridCol w:w="397"/>
        <w:gridCol w:w="255"/>
        <w:gridCol w:w="1418"/>
        <w:gridCol w:w="397"/>
        <w:gridCol w:w="397"/>
        <w:gridCol w:w="708"/>
      </w:tblGrid>
      <w:tr w:rsidR="00D034B8" w:rsidRPr="00D034B8" w:rsidTr="001355E9">
        <w:tc>
          <w:tcPr>
            <w:tcW w:w="1389" w:type="dxa"/>
            <w:tcBorders>
              <w:top w:val="nil"/>
              <w:left w:val="nil"/>
              <w:bottom w:val="nil"/>
              <w:right w:val="nil"/>
            </w:tcBorders>
          </w:tcPr>
          <w:p w:rsidR="00D034B8" w:rsidRPr="00D034B8" w:rsidRDefault="00D034B8" w:rsidP="00D034B8">
            <w:pPr>
              <w:rPr>
                <w:rFonts w:eastAsiaTheme="minorEastAsia"/>
                <w:sz w:val="24"/>
                <w:szCs w:val="24"/>
              </w:rPr>
            </w:pPr>
            <w:r w:rsidRPr="00D034B8">
              <w:rPr>
                <w:rFonts w:eastAsiaTheme="minorEastAsia"/>
                <w:sz w:val="24"/>
                <w:szCs w:val="24"/>
              </w:rPr>
              <w:t>протокол №</w:t>
            </w:r>
          </w:p>
        </w:tc>
        <w:tc>
          <w:tcPr>
            <w:tcW w:w="1985" w:type="dxa"/>
            <w:tcBorders>
              <w:top w:val="nil"/>
              <w:left w:val="nil"/>
              <w:bottom w:val="single" w:sz="4" w:space="0" w:color="auto"/>
              <w:right w:val="nil"/>
            </w:tcBorders>
            <w:vAlign w:val="bottom"/>
          </w:tcPr>
          <w:p w:rsidR="00D034B8" w:rsidRPr="003D590E" w:rsidRDefault="003D590E" w:rsidP="00D034B8">
            <w:pPr>
              <w:jc w:val="center"/>
              <w:rPr>
                <w:rFonts w:eastAsiaTheme="minorEastAsia"/>
                <w:sz w:val="24"/>
                <w:szCs w:val="24"/>
              </w:rPr>
            </w:pPr>
            <w:r>
              <w:rPr>
                <w:rFonts w:eastAsiaTheme="minorEastAsia"/>
                <w:sz w:val="24"/>
                <w:szCs w:val="24"/>
              </w:rPr>
              <w:t>197</w:t>
            </w:r>
          </w:p>
        </w:tc>
        <w:tc>
          <w:tcPr>
            <w:tcW w:w="510" w:type="dxa"/>
            <w:tcBorders>
              <w:top w:val="nil"/>
              <w:left w:val="nil"/>
              <w:bottom w:val="nil"/>
              <w:right w:val="nil"/>
            </w:tcBorders>
            <w:vAlign w:val="bottom"/>
          </w:tcPr>
          <w:p w:rsidR="00D034B8" w:rsidRPr="00D034B8" w:rsidRDefault="00D034B8" w:rsidP="00D034B8">
            <w:pPr>
              <w:jc w:val="right"/>
              <w:rPr>
                <w:rFonts w:eastAsiaTheme="minorEastAsia"/>
                <w:sz w:val="24"/>
                <w:szCs w:val="24"/>
              </w:rPr>
            </w:pPr>
            <w:r w:rsidRPr="00D034B8">
              <w:rPr>
                <w:rFonts w:eastAsiaTheme="minorEastAsia"/>
                <w:sz w:val="24"/>
                <w:szCs w:val="24"/>
              </w:rPr>
              <w:t>от “</w:t>
            </w:r>
          </w:p>
        </w:tc>
        <w:tc>
          <w:tcPr>
            <w:tcW w:w="397" w:type="dxa"/>
            <w:tcBorders>
              <w:top w:val="nil"/>
              <w:left w:val="nil"/>
              <w:bottom w:val="single" w:sz="4" w:space="0" w:color="auto"/>
              <w:right w:val="nil"/>
            </w:tcBorders>
            <w:vAlign w:val="bottom"/>
          </w:tcPr>
          <w:p w:rsidR="00D034B8" w:rsidRPr="003D590E" w:rsidRDefault="003D590E" w:rsidP="00D034B8">
            <w:pPr>
              <w:jc w:val="center"/>
              <w:rPr>
                <w:rFonts w:eastAsiaTheme="minorEastAsia"/>
                <w:sz w:val="24"/>
                <w:szCs w:val="24"/>
              </w:rPr>
            </w:pPr>
            <w:r>
              <w:rPr>
                <w:rFonts w:eastAsiaTheme="minorEastAsia"/>
                <w:sz w:val="24"/>
                <w:szCs w:val="24"/>
              </w:rPr>
              <w:t>18</w:t>
            </w:r>
          </w:p>
        </w:tc>
        <w:tc>
          <w:tcPr>
            <w:tcW w:w="255" w:type="dxa"/>
            <w:tcBorders>
              <w:top w:val="nil"/>
              <w:left w:val="nil"/>
              <w:bottom w:val="nil"/>
              <w:right w:val="nil"/>
            </w:tcBorders>
            <w:vAlign w:val="bottom"/>
          </w:tcPr>
          <w:p w:rsidR="00D034B8" w:rsidRPr="00D034B8" w:rsidRDefault="00D034B8" w:rsidP="00D034B8">
            <w:pPr>
              <w:rPr>
                <w:rFonts w:eastAsiaTheme="minorEastAsia"/>
                <w:sz w:val="24"/>
                <w:szCs w:val="24"/>
              </w:rPr>
            </w:pPr>
            <w:r w:rsidRPr="00D034B8">
              <w:rPr>
                <w:rFonts w:eastAsiaTheme="minorEastAsia"/>
                <w:sz w:val="24"/>
                <w:szCs w:val="24"/>
              </w:rPr>
              <w:t>”</w:t>
            </w:r>
          </w:p>
        </w:tc>
        <w:tc>
          <w:tcPr>
            <w:tcW w:w="1418" w:type="dxa"/>
            <w:tcBorders>
              <w:top w:val="nil"/>
              <w:left w:val="nil"/>
              <w:bottom w:val="single" w:sz="4" w:space="0" w:color="auto"/>
              <w:right w:val="nil"/>
            </w:tcBorders>
            <w:vAlign w:val="bottom"/>
          </w:tcPr>
          <w:p w:rsidR="00D034B8" w:rsidRPr="003D590E" w:rsidRDefault="003D590E" w:rsidP="00D034B8">
            <w:pPr>
              <w:jc w:val="center"/>
              <w:rPr>
                <w:rFonts w:eastAsiaTheme="minorEastAsia"/>
                <w:sz w:val="24"/>
                <w:szCs w:val="24"/>
              </w:rPr>
            </w:pPr>
            <w:r>
              <w:rPr>
                <w:rFonts w:eastAsiaTheme="minorEastAsia"/>
                <w:sz w:val="24"/>
                <w:szCs w:val="24"/>
              </w:rPr>
              <w:t>ноября</w:t>
            </w:r>
          </w:p>
        </w:tc>
        <w:tc>
          <w:tcPr>
            <w:tcW w:w="397" w:type="dxa"/>
            <w:tcBorders>
              <w:top w:val="nil"/>
              <w:left w:val="nil"/>
              <w:bottom w:val="nil"/>
              <w:right w:val="nil"/>
            </w:tcBorders>
            <w:vAlign w:val="bottom"/>
          </w:tcPr>
          <w:p w:rsidR="00D034B8" w:rsidRPr="00D034B8" w:rsidRDefault="00D034B8" w:rsidP="00D034B8">
            <w:pPr>
              <w:jc w:val="right"/>
              <w:rPr>
                <w:rFonts w:eastAsiaTheme="minorEastAsia"/>
                <w:sz w:val="24"/>
                <w:szCs w:val="24"/>
              </w:rPr>
            </w:pPr>
            <w:r w:rsidRPr="00D034B8">
              <w:rPr>
                <w:rFonts w:eastAsiaTheme="minorEastAsia"/>
                <w:sz w:val="24"/>
                <w:szCs w:val="24"/>
              </w:rPr>
              <w:t>20</w:t>
            </w:r>
          </w:p>
        </w:tc>
        <w:tc>
          <w:tcPr>
            <w:tcW w:w="397" w:type="dxa"/>
            <w:tcBorders>
              <w:top w:val="nil"/>
              <w:left w:val="nil"/>
              <w:bottom w:val="single" w:sz="4" w:space="0" w:color="auto"/>
              <w:right w:val="nil"/>
            </w:tcBorders>
            <w:vAlign w:val="bottom"/>
          </w:tcPr>
          <w:p w:rsidR="00D034B8" w:rsidRPr="00D034B8" w:rsidRDefault="00243961" w:rsidP="00D034B8">
            <w:pPr>
              <w:rPr>
                <w:rFonts w:eastAsiaTheme="minorEastAsia"/>
                <w:sz w:val="24"/>
                <w:szCs w:val="24"/>
              </w:rPr>
            </w:pPr>
            <w:r>
              <w:rPr>
                <w:rFonts w:eastAsiaTheme="minorEastAsia"/>
                <w:sz w:val="24"/>
                <w:szCs w:val="24"/>
              </w:rPr>
              <w:t>20</w:t>
            </w:r>
          </w:p>
        </w:tc>
        <w:tc>
          <w:tcPr>
            <w:tcW w:w="708" w:type="dxa"/>
            <w:tcBorders>
              <w:top w:val="nil"/>
              <w:left w:val="nil"/>
              <w:bottom w:val="nil"/>
              <w:right w:val="nil"/>
            </w:tcBorders>
            <w:vAlign w:val="bottom"/>
          </w:tcPr>
          <w:p w:rsidR="00D034B8" w:rsidRPr="00D034B8" w:rsidRDefault="00D034B8" w:rsidP="00D034B8">
            <w:pPr>
              <w:ind w:left="57"/>
              <w:rPr>
                <w:rFonts w:eastAsiaTheme="minorEastAsia"/>
                <w:sz w:val="24"/>
                <w:szCs w:val="24"/>
              </w:rPr>
            </w:pPr>
            <w:r w:rsidRPr="00D034B8">
              <w:rPr>
                <w:rFonts w:eastAsiaTheme="minorEastAsia"/>
                <w:sz w:val="24"/>
                <w:szCs w:val="24"/>
              </w:rPr>
              <w:t>года.</w:t>
            </w:r>
          </w:p>
        </w:tc>
      </w:tr>
    </w:tbl>
    <w:p w:rsidR="00D034B8" w:rsidRPr="00D034B8" w:rsidRDefault="00D034B8" w:rsidP="00D034B8">
      <w:pPr>
        <w:spacing w:after="240"/>
        <w:ind w:left="1389"/>
        <w:rPr>
          <w:rFonts w:eastAsiaTheme="minorEastAsia"/>
        </w:rPr>
      </w:pPr>
      <w:r w:rsidRPr="00D034B8">
        <w:rPr>
          <w:rFonts w:eastAsiaTheme="minorEastAsia"/>
        </w:rPr>
        <w:t>(указываются номер протокола и дата составления протокола)</w:t>
      </w:r>
    </w:p>
    <w:p w:rsidR="002B6DB6" w:rsidRDefault="002B6DB6" w:rsidP="00BE0B9F">
      <w:pPr>
        <w:spacing w:after="240"/>
        <w:ind w:firstLine="567"/>
        <w:jc w:val="both"/>
      </w:pPr>
      <w:r>
        <w:rPr>
          <w:sz w:val="24"/>
          <w:szCs w:val="24"/>
        </w:rPr>
        <w:t xml:space="preserve">Место нахождения кредитной организации – эмитента и </w:t>
      </w:r>
      <w:r w:rsidR="00690538">
        <w:rPr>
          <w:sz w:val="24"/>
          <w:szCs w:val="24"/>
        </w:rPr>
        <w:t xml:space="preserve">номера </w:t>
      </w:r>
      <w:r>
        <w:rPr>
          <w:sz w:val="24"/>
          <w:szCs w:val="24"/>
        </w:rPr>
        <w:t>контактны</w:t>
      </w:r>
      <w:r w:rsidR="00690538">
        <w:rPr>
          <w:sz w:val="24"/>
          <w:szCs w:val="24"/>
        </w:rPr>
        <w:t>х</w:t>
      </w:r>
      <w:r w:rsidR="00690538">
        <w:rPr>
          <w:sz w:val="24"/>
          <w:szCs w:val="24"/>
        </w:rPr>
        <w:br/>
      </w:r>
      <w:r>
        <w:rPr>
          <w:sz w:val="24"/>
          <w:szCs w:val="24"/>
        </w:rPr>
        <w:t>телефон</w:t>
      </w:r>
      <w:r w:rsidR="00690538">
        <w:rPr>
          <w:sz w:val="24"/>
          <w:szCs w:val="24"/>
        </w:rPr>
        <w:t>ов</w:t>
      </w:r>
      <w:r>
        <w:rPr>
          <w:sz w:val="24"/>
          <w:szCs w:val="24"/>
        </w:rPr>
        <w:t>:</w:t>
      </w:r>
      <w:r w:rsidR="00690538">
        <w:rPr>
          <w:sz w:val="24"/>
          <w:szCs w:val="24"/>
        </w:rPr>
        <w:t xml:space="preserve">  </w:t>
      </w:r>
      <w:r w:rsidR="00BE0B9F" w:rsidRPr="00BE0B9F">
        <w:rPr>
          <w:sz w:val="24"/>
          <w:szCs w:val="24"/>
        </w:rPr>
        <w:t>115035, Россия, г. Москва, улица Садовническая,</w:t>
      </w:r>
      <w:r w:rsidR="00BE0B9F">
        <w:rPr>
          <w:sz w:val="24"/>
          <w:szCs w:val="24"/>
        </w:rPr>
        <w:t xml:space="preserve"> </w:t>
      </w:r>
      <w:r w:rsidR="00BE0B9F" w:rsidRPr="00BE0B9F">
        <w:rPr>
          <w:sz w:val="24"/>
          <w:szCs w:val="24"/>
        </w:rPr>
        <w:t xml:space="preserve">дом 79; </w:t>
      </w:r>
      <w:r w:rsidR="00BE0B9F">
        <w:rPr>
          <w:sz w:val="24"/>
          <w:szCs w:val="24"/>
        </w:rPr>
        <w:t>тел.</w:t>
      </w:r>
      <w:r w:rsidR="00BE0B9F" w:rsidRPr="00BE0B9F">
        <w:rPr>
          <w:sz w:val="24"/>
          <w:szCs w:val="24"/>
        </w:rPr>
        <w:t>: +7 (495) 783-79-98; +7 (800) 30-20-100</w:t>
      </w:r>
      <w:r w:rsidR="00BE0B9F">
        <w:rPr>
          <w:sz w:val="24"/>
          <w:szCs w:val="24"/>
        </w:rPr>
        <w:t>.</w:t>
      </w:r>
    </w:p>
    <w:tbl>
      <w:tblPr>
        <w:tblW w:w="10093" w:type="dxa"/>
        <w:tblLayout w:type="fixed"/>
        <w:tblCellMar>
          <w:left w:w="28" w:type="dxa"/>
          <w:right w:w="28" w:type="dxa"/>
        </w:tblCellMar>
        <w:tblLook w:val="0000" w:firstRow="0" w:lastRow="0" w:firstColumn="0" w:lastColumn="0" w:noHBand="0" w:noVBand="0"/>
      </w:tblPr>
      <w:tblGrid>
        <w:gridCol w:w="170"/>
        <w:gridCol w:w="737"/>
        <w:gridCol w:w="454"/>
        <w:gridCol w:w="255"/>
        <w:gridCol w:w="1588"/>
        <w:gridCol w:w="397"/>
        <w:gridCol w:w="369"/>
        <w:gridCol w:w="623"/>
        <w:gridCol w:w="286"/>
        <w:gridCol w:w="1985"/>
        <w:gridCol w:w="283"/>
        <w:gridCol w:w="2693"/>
        <w:gridCol w:w="253"/>
      </w:tblGrid>
      <w:tr w:rsidR="00BB6DC1" w:rsidTr="006D4EB6">
        <w:trPr>
          <w:cantSplit/>
        </w:trPr>
        <w:tc>
          <w:tcPr>
            <w:tcW w:w="170" w:type="dxa"/>
            <w:tcBorders>
              <w:top w:val="single" w:sz="4" w:space="0" w:color="auto"/>
              <w:left w:val="single" w:sz="4" w:space="0" w:color="auto"/>
              <w:bottom w:val="nil"/>
              <w:right w:val="nil"/>
            </w:tcBorders>
            <w:vAlign w:val="bottom"/>
          </w:tcPr>
          <w:p w:rsidR="00BB6DC1" w:rsidRDefault="00BB6DC1" w:rsidP="00B1526B">
            <w:pPr>
              <w:keepNext/>
              <w:rPr>
                <w:sz w:val="24"/>
                <w:szCs w:val="24"/>
              </w:rPr>
            </w:pPr>
          </w:p>
        </w:tc>
        <w:tc>
          <w:tcPr>
            <w:tcW w:w="4423" w:type="dxa"/>
            <w:gridSpan w:val="7"/>
            <w:tcBorders>
              <w:top w:val="single" w:sz="4" w:space="0" w:color="auto"/>
              <w:left w:val="nil"/>
              <w:bottom w:val="single" w:sz="4" w:space="0" w:color="auto"/>
              <w:right w:val="nil"/>
            </w:tcBorders>
            <w:vAlign w:val="bottom"/>
          </w:tcPr>
          <w:p w:rsidR="00BB6DC1" w:rsidRDefault="00BE0B9F" w:rsidP="00B1526B">
            <w:pPr>
              <w:keepNext/>
              <w:jc w:val="center"/>
              <w:rPr>
                <w:sz w:val="24"/>
                <w:szCs w:val="24"/>
              </w:rPr>
            </w:pPr>
            <w:r>
              <w:rPr>
                <w:sz w:val="24"/>
                <w:szCs w:val="24"/>
              </w:rPr>
              <w:t>Председатель Правления</w:t>
            </w:r>
          </w:p>
        </w:tc>
        <w:tc>
          <w:tcPr>
            <w:tcW w:w="286" w:type="dxa"/>
            <w:tcBorders>
              <w:top w:val="single" w:sz="4" w:space="0" w:color="auto"/>
              <w:left w:val="nil"/>
              <w:bottom w:val="nil"/>
              <w:right w:val="nil"/>
            </w:tcBorders>
            <w:vAlign w:val="bottom"/>
          </w:tcPr>
          <w:p w:rsidR="00BB6DC1" w:rsidRDefault="00BB6DC1" w:rsidP="00B1526B">
            <w:pPr>
              <w:keepNext/>
              <w:rPr>
                <w:sz w:val="24"/>
                <w:szCs w:val="24"/>
              </w:rPr>
            </w:pPr>
          </w:p>
        </w:tc>
        <w:tc>
          <w:tcPr>
            <w:tcW w:w="1985" w:type="dxa"/>
            <w:tcBorders>
              <w:top w:val="single" w:sz="4" w:space="0" w:color="auto"/>
              <w:left w:val="nil"/>
              <w:bottom w:val="single" w:sz="4" w:space="0" w:color="auto"/>
              <w:right w:val="nil"/>
            </w:tcBorders>
            <w:vAlign w:val="bottom"/>
          </w:tcPr>
          <w:p w:rsidR="00BB6DC1" w:rsidRDefault="00BB6DC1" w:rsidP="00B1526B">
            <w:pPr>
              <w:keepNext/>
              <w:jc w:val="center"/>
              <w:rPr>
                <w:sz w:val="24"/>
                <w:szCs w:val="24"/>
              </w:rPr>
            </w:pPr>
          </w:p>
        </w:tc>
        <w:tc>
          <w:tcPr>
            <w:tcW w:w="283" w:type="dxa"/>
            <w:tcBorders>
              <w:top w:val="single" w:sz="4" w:space="0" w:color="auto"/>
              <w:left w:val="nil"/>
              <w:bottom w:val="nil"/>
              <w:right w:val="nil"/>
            </w:tcBorders>
            <w:vAlign w:val="bottom"/>
          </w:tcPr>
          <w:p w:rsidR="00BB6DC1" w:rsidRDefault="00BB6DC1" w:rsidP="00B1526B">
            <w:pPr>
              <w:keepNext/>
              <w:rPr>
                <w:sz w:val="24"/>
                <w:szCs w:val="24"/>
              </w:rPr>
            </w:pPr>
          </w:p>
        </w:tc>
        <w:tc>
          <w:tcPr>
            <w:tcW w:w="2693" w:type="dxa"/>
            <w:tcBorders>
              <w:top w:val="single" w:sz="4" w:space="0" w:color="auto"/>
              <w:left w:val="nil"/>
              <w:bottom w:val="single" w:sz="4" w:space="0" w:color="auto"/>
              <w:right w:val="nil"/>
            </w:tcBorders>
            <w:vAlign w:val="bottom"/>
          </w:tcPr>
          <w:p w:rsidR="00BB6DC1" w:rsidRDefault="00BE0B9F" w:rsidP="00B1526B">
            <w:pPr>
              <w:keepNext/>
              <w:jc w:val="center"/>
              <w:rPr>
                <w:sz w:val="24"/>
                <w:szCs w:val="24"/>
              </w:rPr>
            </w:pPr>
            <w:r>
              <w:rPr>
                <w:sz w:val="24"/>
                <w:szCs w:val="24"/>
              </w:rPr>
              <w:t>Д.Я. Голованов</w:t>
            </w:r>
          </w:p>
        </w:tc>
        <w:tc>
          <w:tcPr>
            <w:tcW w:w="253" w:type="dxa"/>
            <w:tcBorders>
              <w:top w:val="single" w:sz="4" w:space="0" w:color="auto"/>
              <w:left w:val="nil"/>
              <w:bottom w:val="nil"/>
              <w:right w:val="single" w:sz="4" w:space="0" w:color="auto"/>
            </w:tcBorders>
            <w:vAlign w:val="bottom"/>
          </w:tcPr>
          <w:p w:rsidR="00BB6DC1" w:rsidRDefault="00BB6DC1" w:rsidP="00B1526B">
            <w:pPr>
              <w:keepNext/>
              <w:rPr>
                <w:sz w:val="24"/>
                <w:szCs w:val="24"/>
              </w:rPr>
            </w:pPr>
          </w:p>
        </w:tc>
      </w:tr>
      <w:tr w:rsidR="00BB6DC1" w:rsidTr="006D4EB6">
        <w:trPr>
          <w:cantSplit/>
        </w:trPr>
        <w:tc>
          <w:tcPr>
            <w:tcW w:w="170" w:type="dxa"/>
            <w:tcBorders>
              <w:top w:val="nil"/>
              <w:left w:val="single" w:sz="4" w:space="0" w:color="auto"/>
              <w:bottom w:val="nil"/>
              <w:right w:val="nil"/>
            </w:tcBorders>
          </w:tcPr>
          <w:p w:rsidR="00BB6DC1" w:rsidRDefault="00BB6DC1" w:rsidP="00B1526B">
            <w:pPr>
              <w:keepNext/>
              <w:spacing w:after="120"/>
            </w:pPr>
          </w:p>
        </w:tc>
        <w:tc>
          <w:tcPr>
            <w:tcW w:w="4423" w:type="dxa"/>
            <w:gridSpan w:val="7"/>
            <w:tcBorders>
              <w:top w:val="nil"/>
              <w:left w:val="nil"/>
              <w:bottom w:val="nil"/>
              <w:right w:val="nil"/>
            </w:tcBorders>
          </w:tcPr>
          <w:p w:rsidR="00BB6DC1" w:rsidRDefault="00BB6DC1" w:rsidP="00B1526B">
            <w:pPr>
              <w:keepNext/>
              <w:spacing w:after="120"/>
              <w:jc w:val="center"/>
            </w:pPr>
            <w:r>
              <w:t>(наименование должности руководителя кредитной организации)</w:t>
            </w:r>
          </w:p>
        </w:tc>
        <w:tc>
          <w:tcPr>
            <w:tcW w:w="286" w:type="dxa"/>
            <w:tcBorders>
              <w:top w:val="nil"/>
              <w:left w:val="nil"/>
              <w:bottom w:val="nil"/>
              <w:right w:val="nil"/>
            </w:tcBorders>
          </w:tcPr>
          <w:p w:rsidR="00BB6DC1" w:rsidRDefault="00BB6DC1" w:rsidP="00B1526B">
            <w:pPr>
              <w:keepNext/>
              <w:spacing w:after="120"/>
            </w:pPr>
          </w:p>
        </w:tc>
        <w:tc>
          <w:tcPr>
            <w:tcW w:w="1985" w:type="dxa"/>
            <w:tcBorders>
              <w:top w:val="nil"/>
              <w:left w:val="nil"/>
              <w:bottom w:val="nil"/>
              <w:right w:val="nil"/>
            </w:tcBorders>
          </w:tcPr>
          <w:p w:rsidR="00BB6DC1" w:rsidRDefault="00BB6DC1" w:rsidP="00B1526B">
            <w:pPr>
              <w:keepNext/>
              <w:spacing w:after="120"/>
              <w:jc w:val="center"/>
            </w:pPr>
            <w:r>
              <w:t>(личная подпись)</w:t>
            </w:r>
          </w:p>
        </w:tc>
        <w:tc>
          <w:tcPr>
            <w:tcW w:w="283" w:type="dxa"/>
            <w:tcBorders>
              <w:top w:val="nil"/>
              <w:left w:val="nil"/>
              <w:bottom w:val="nil"/>
              <w:right w:val="nil"/>
            </w:tcBorders>
          </w:tcPr>
          <w:p w:rsidR="00BB6DC1" w:rsidRDefault="00BB6DC1" w:rsidP="00B1526B">
            <w:pPr>
              <w:keepNext/>
              <w:spacing w:after="120"/>
            </w:pPr>
          </w:p>
        </w:tc>
        <w:tc>
          <w:tcPr>
            <w:tcW w:w="2693" w:type="dxa"/>
            <w:tcBorders>
              <w:top w:val="nil"/>
              <w:left w:val="nil"/>
              <w:bottom w:val="nil"/>
              <w:right w:val="nil"/>
            </w:tcBorders>
          </w:tcPr>
          <w:p w:rsidR="00BB6DC1" w:rsidRDefault="00BB6DC1" w:rsidP="00B1526B">
            <w:pPr>
              <w:keepNext/>
              <w:spacing w:after="120"/>
              <w:jc w:val="center"/>
            </w:pPr>
            <w:r>
              <w:t>(инициалы, фамилия)</w:t>
            </w:r>
          </w:p>
        </w:tc>
        <w:tc>
          <w:tcPr>
            <w:tcW w:w="253" w:type="dxa"/>
            <w:tcBorders>
              <w:top w:val="nil"/>
              <w:left w:val="nil"/>
              <w:bottom w:val="nil"/>
              <w:right w:val="single" w:sz="4" w:space="0" w:color="auto"/>
            </w:tcBorders>
          </w:tcPr>
          <w:p w:rsidR="00BB6DC1" w:rsidRDefault="00BB6DC1" w:rsidP="00B1526B">
            <w:pPr>
              <w:keepNext/>
              <w:spacing w:after="120"/>
            </w:pPr>
          </w:p>
        </w:tc>
      </w:tr>
      <w:tr w:rsidR="00BB6DC1" w:rsidTr="006D4EB6">
        <w:trPr>
          <w:cantSplit/>
        </w:trPr>
        <w:tc>
          <w:tcPr>
            <w:tcW w:w="170" w:type="dxa"/>
            <w:tcBorders>
              <w:top w:val="nil"/>
              <w:left w:val="single" w:sz="4" w:space="0" w:color="auto"/>
              <w:bottom w:val="nil"/>
              <w:right w:val="nil"/>
            </w:tcBorders>
            <w:vAlign w:val="bottom"/>
          </w:tcPr>
          <w:p w:rsidR="00BB6DC1" w:rsidRDefault="00BB6DC1" w:rsidP="00B1526B">
            <w:pPr>
              <w:rPr>
                <w:sz w:val="24"/>
                <w:szCs w:val="24"/>
              </w:rPr>
            </w:pPr>
          </w:p>
        </w:tc>
        <w:tc>
          <w:tcPr>
            <w:tcW w:w="737" w:type="dxa"/>
            <w:tcBorders>
              <w:top w:val="nil"/>
              <w:left w:val="nil"/>
              <w:bottom w:val="nil"/>
              <w:right w:val="nil"/>
            </w:tcBorders>
            <w:vAlign w:val="bottom"/>
          </w:tcPr>
          <w:p w:rsidR="00BB6DC1" w:rsidRDefault="00BB6DC1" w:rsidP="00B1526B">
            <w:pPr>
              <w:rPr>
                <w:sz w:val="24"/>
                <w:szCs w:val="24"/>
              </w:rPr>
            </w:pPr>
            <w:r>
              <w:rPr>
                <w:sz w:val="24"/>
                <w:szCs w:val="24"/>
              </w:rPr>
              <w:t>Дата «</w:t>
            </w:r>
          </w:p>
        </w:tc>
        <w:tc>
          <w:tcPr>
            <w:tcW w:w="454" w:type="dxa"/>
            <w:tcBorders>
              <w:top w:val="nil"/>
              <w:left w:val="nil"/>
              <w:bottom w:val="single" w:sz="4" w:space="0" w:color="auto"/>
              <w:right w:val="nil"/>
            </w:tcBorders>
            <w:vAlign w:val="bottom"/>
          </w:tcPr>
          <w:p w:rsidR="00BB6DC1" w:rsidRDefault="00BB6DC1" w:rsidP="00B1526B">
            <w:pPr>
              <w:jc w:val="center"/>
              <w:rPr>
                <w:sz w:val="24"/>
                <w:szCs w:val="24"/>
              </w:rPr>
            </w:pPr>
          </w:p>
        </w:tc>
        <w:tc>
          <w:tcPr>
            <w:tcW w:w="255" w:type="dxa"/>
            <w:tcBorders>
              <w:top w:val="nil"/>
              <w:left w:val="nil"/>
              <w:bottom w:val="nil"/>
              <w:right w:val="nil"/>
            </w:tcBorders>
            <w:vAlign w:val="bottom"/>
          </w:tcPr>
          <w:p w:rsidR="00BB6DC1" w:rsidRDefault="00BB6DC1" w:rsidP="00B1526B">
            <w:pPr>
              <w:rPr>
                <w:sz w:val="24"/>
                <w:szCs w:val="24"/>
              </w:rPr>
            </w:pPr>
            <w:r>
              <w:rPr>
                <w:sz w:val="24"/>
                <w:szCs w:val="24"/>
              </w:rPr>
              <w:t>»</w:t>
            </w:r>
          </w:p>
        </w:tc>
        <w:tc>
          <w:tcPr>
            <w:tcW w:w="1588" w:type="dxa"/>
            <w:tcBorders>
              <w:top w:val="nil"/>
              <w:left w:val="nil"/>
              <w:bottom w:val="single" w:sz="4" w:space="0" w:color="auto"/>
              <w:right w:val="nil"/>
            </w:tcBorders>
            <w:vAlign w:val="bottom"/>
          </w:tcPr>
          <w:p w:rsidR="00BB6DC1" w:rsidRDefault="00BB6DC1" w:rsidP="00B1526B">
            <w:pPr>
              <w:jc w:val="center"/>
              <w:rPr>
                <w:sz w:val="24"/>
                <w:szCs w:val="24"/>
              </w:rPr>
            </w:pPr>
          </w:p>
        </w:tc>
        <w:tc>
          <w:tcPr>
            <w:tcW w:w="397" w:type="dxa"/>
            <w:tcBorders>
              <w:top w:val="nil"/>
              <w:left w:val="nil"/>
              <w:bottom w:val="nil"/>
              <w:right w:val="nil"/>
            </w:tcBorders>
            <w:vAlign w:val="bottom"/>
          </w:tcPr>
          <w:p w:rsidR="00BB6DC1" w:rsidRDefault="00BB6DC1" w:rsidP="00B1526B">
            <w:pPr>
              <w:jc w:val="right"/>
              <w:rPr>
                <w:sz w:val="24"/>
                <w:szCs w:val="24"/>
              </w:rPr>
            </w:pPr>
            <w:r>
              <w:rPr>
                <w:sz w:val="24"/>
                <w:szCs w:val="24"/>
              </w:rPr>
              <w:t>20</w:t>
            </w:r>
          </w:p>
        </w:tc>
        <w:tc>
          <w:tcPr>
            <w:tcW w:w="369" w:type="dxa"/>
            <w:tcBorders>
              <w:top w:val="nil"/>
              <w:left w:val="nil"/>
              <w:bottom w:val="single" w:sz="4" w:space="0" w:color="auto"/>
              <w:right w:val="nil"/>
            </w:tcBorders>
            <w:vAlign w:val="bottom"/>
          </w:tcPr>
          <w:p w:rsidR="00BB6DC1" w:rsidRPr="00D034B8" w:rsidRDefault="00D034B8" w:rsidP="00B1526B">
            <w:pPr>
              <w:rPr>
                <w:sz w:val="24"/>
                <w:szCs w:val="24"/>
                <w:lang w:val="en-US"/>
              </w:rPr>
            </w:pPr>
            <w:r>
              <w:rPr>
                <w:sz w:val="24"/>
                <w:szCs w:val="24"/>
                <w:lang w:val="en-US"/>
              </w:rPr>
              <w:t>20</w:t>
            </w:r>
          </w:p>
        </w:tc>
        <w:tc>
          <w:tcPr>
            <w:tcW w:w="909" w:type="dxa"/>
            <w:gridSpan w:val="2"/>
            <w:tcBorders>
              <w:top w:val="nil"/>
              <w:left w:val="nil"/>
              <w:bottom w:val="nil"/>
              <w:right w:val="nil"/>
            </w:tcBorders>
            <w:vAlign w:val="bottom"/>
          </w:tcPr>
          <w:p w:rsidR="00BB6DC1" w:rsidRDefault="00BB6DC1" w:rsidP="00B1526B">
            <w:pPr>
              <w:ind w:left="57"/>
              <w:rPr>
                <w:sz w:val="24"/>
                <w:szCs w:val="24"/>
              </w:rPr>
            </w:pPr>
            <w:r>
              <w:rPr>
                <w:sz w:val="24"/>
                <w:szCs w:val="24"/>
              </w:rPr>
              <w:t>года</w:t>
            </w:r>
          </w:p>
        </w:tc>
        <w:tc>
          <w:tcPr>
            <w:tcW w:w="4961" w:type="dxa"/>
            <w:gridSpan w:val="3"/>
            <w:tcBorders>
              <w:top w:val="nil"/>
              <w:left w:val="nil"/>
              <w:bottom w:val="nil"/>
              <w:right w:val="nil"/>
            </w:tcBorders>
            <w:vAlign w:val="bottom"/>
          </w:tcPr>
          <w:p w:rsidR="00BB6DC1" w:rsidRDefault="00BB6DC1" w:rsidP="00B1526B">
            <w:pPr>
              <w:jc w:val="center"/>
            </w:pPr>
            <w:r>
              <w:t>М.П. кредитной организации</w:t>
            </w:r>
          </w:p>
        </w:tc>
        <w:tc>
          <w:tcPr>
            <w:tcW w:w="253" w:type="dxa"/>
            <w:tcBorders>
              <w:top w:val="nil"/>
              <w:left w:val="nil"/>
              <w:bottom w:val="nil"/>
              <w:right w:val="single" w:sz="4" w:space="0" w:color="auto"/>
            </w:tcBorders>
            <w:vAlign w:val="bottom"/>
          </w:tcPr>
          <w:p w:rsidR="00BB6DC1" w:rsidRDefault="00BB6DC1" w:rsidP="00B1526B">
            <w:pPr>
              <w:rPr>
                <w:sz w:val="24"/>
                <w:szCs w:val="24"/>
              </w:rPr>
            </w:pPr>
          </w:p>
        </w:tc>
      </w:tr>
      <w:tr w:rsidR="00BB6DC1" w:rsidTr="006D4EB6">
        <w:trPr>
          <w:cantSplit/>
        </w:trPr>
        <w:tc>
          <w:tcPr>
            <w:tcW w:w="10093" w:type="dxa"/>
            <w:gridSpan w:val="13"/>
            <w:tcBorders>
              <w:top w:val="nil"/>
              <w:left w:val="single" w:sz="4" w:space="0" w:color="auto"/>
              <w:bottom w:val="single" w:sz="4" w:space="0" w:color="auto"/>
              <w:right w:val="single" w:sz="4" w:space="0" w:color="auto"/>
            </w:tcBorders>
          </w:tcPr>
          <w:p w:rsidR="00BB6DC1" w:rsidRDefault="00BB6DC1" w:rsidP="00B1526B">
            <w:pPr>
              <w:rPr>
                <w:sz w:val="12"/>
                <w:szCs w:val="12"/>
              </w:rPr>
            </w:pPr>
          </w:p>
        </w:tc>
      </w:tr>
    </w:tbl>
    <w:p w:rsidR="00185F85" w:rsidRDefault="00185F85">
      <w:pPr>
        <w:autoSpaceDE/>
        <w:autoSpaceDN/>
        <w:rPr>
          <w:b/>
          <w:bCs/>
          <w:i/>
          <w:iCs/>
          <w:sz w:val="24"/>
          <w:szCs w:val="24"/>
        </w:rPr>
      </w:pPr>
    </w:p>
    <w:p w:rsidR="00D92EAD" w:rsidRPr="00D92EAD" w:rsidRDefault="00D92EAD" w:rsidP="00D92EAD">
      <w:pPr>
        <w:jc w:val="center"/>
        <w:rPr>
          <w:b/>
          <w:sz w:val="24"/>
          <w:szCs w:val="24"/>
        </w:rPr>
      </w:pPr>
      <w:r w:rsidRPr="00D92EAD">
        <w:rPr>
          <w:b/>
          <w:sz w:val="24"/>
          <w:szCs w:val="24"/>
        </w:rPr>
        <w:t>Информация, включаемая в текст Изменений в решение о выпуске ценных бумаг</w:t>
      </w:r>
    </w:p>
    <w:p w:rsidR="00D92EAD" w:rsidRPr="00D92EAD" w:rsidRDefault="00D92EAD" w:rsidP="00D92EAD">
      <w:pPr>
        <w:adjustRightInd w:val="0"/>
        <w:ind w:firstLine="540"/>
        <w:jc w:val="both"/>
        <w:outlineLvl w:val="5"/>
        <w:rPr>
          <w:sz w:val="22"/>
          <w:szCs w:val="22"/>
        </w:rPr>
      </w:pPr>
    </w:p>
    <w:tbl>
      <w:tblPr>
        <w:tblStyle w:val="af4"/>
        <w:tblW w:w="0" w:type="auto"/>
        <w:tblLook w:val="04A0" w:firstRow="1" w:lastRow="0" w:firstColumn="1" w:lastColumn="0" w:noHBand="0" w:noVBand="1"/>
      </w:tblPr>
      <w:tblGrid>
        <w:gridCol w:w="4956"/>
        <w:gridCol w:w="4956"/>
      </w:tblGrid>
      <w:tr w:rsidR="00185F85" w:rsidRPr="00185F85" w:rsidTr="00185F85">
        <w:tc>
          <w:tcPr>
            <w:tcW w:w="9912" w:type="dxa"/>
            <w:gridSpan w:val="2"/>
            <w:shd w:val="clear" w:color="auto" w:fill="FFFFFF" w:themeFill="background1"/>
          </w:tcPr>
          <w:p w:rsidR="00832B60" w:rsidRPr="00486F1C" w:rsidRDefault="00832B60" w:rsidP="004F44BD">
            <w:pPr>
              <w:pStyle w:val="af5"/>
              <w:numPr>
                <w:ilvl w:val="0"/>
                <w:numId w:val="1"/>
              </w:numPr>
              <w:adjustRightInd w:val="0"/>
              <w:outlineLvl w:val="5"/>
              <w:rPr>
                <w:rFonts w:ascii="Times New Roman" w:hAnsi="Times New Roman"/>
                <w:b/>
                <w:sz w:val="22"/>
                <w:szCs w:val="22"/>
              </w:rPr>
            </w:pPr>
            <w:r w:rsidRPr="00486F1C">
              <w:rPr>
                <w:rFonts w:ascii="Times New Roman" w:hAnsi="Times New Roman"/>
                <w:b/>
                <w:sz w:val="22"/>
                <w:szCs w:val="22"/>
              </w:rPr>
              <w:t xml:space="preserve">Изменения вносятся в </w:t>
            </w:r>
            <w:r w:rsidR="005432D5">
              <w:rPr>
                <w:rFonts w:ascii="Times New Roman" w:hAnsi="Times New Roman"/>
                <w:b/>
                <w:sz w:val="22"/>
                <w:szCs w:val="22"/>
              </w:rPr>
              <w:t>абзацы с 1</w:t>
            </w:r>
            <w:r w:rsidR="004F44BD">
              <w:rPr>
                <w:rFonts w:ascii="Times New Roman" w:hAnsi="Times New Roman"/>
                <w:b/>
                <w:sz w:val="22"/>
                <w:szCs w:val="22"/>
              </w:rPr>
              <w:t>6</w:t>
            </w:r>
            <w:r w:rsidR="005432D5">
              <w:rPr>
                <w:rFonts w:ascii="Times New Roman" w:hAnsi="Times New Roman"/>
                <w:b/>
                <w:sz w:val="22"/>
                <w:szCs w:val="22"/>
              </w:rPr>
              <w:t>-</w:t>
            </w:r>
            <w:r w:rsidR="005432D5" w:rsidRPr="00486F1C">
              <w:rPr>
                <w:rFonts w:ascii="Times New Roman" w:hAnsi="Times New Roman"/>
                <w:b/>
                <w:sz w:val="22"/>
                <w:szCs w:val="22"/>
              </w:rPr>
              <w:t xml:space="preserve">го по </w:t>
            </w:r>
            <w:r w:rsidR="005432D5">
              <w:rPr>
                <w:rFonts w:ascii="Times New Roman" w:hAnsi="Times New Roman"/>
                <w:b/>
                <w:sz w:val="22"/>
                <w:szCs w:val="22"/>
              </w:rPr>
              <w:t>1</w:t>
            </w:r>
            <w:r w:rsidR="004F44BD">
              <w:rPr>
                <w:rFonts w:ascii="Times New Roman" w:hAnsi="Times New Roman"/>
                <w:b/>
                <w:sz w:val="22"/>
                <w:szCs w:val="22"/>
              </w:rPr>
              <w:t>9</w:t>
            </w:r>
            <w:r w:rsidR="005432D5" w:rsidRPr="00486F1C">
              <w:rPr>
                <w:rFonts w:ascii="Times New Roman" w:hAnsi="Times New Roman"/>
                <w:b/>
                <w:sz w:val="22"/>
                <w:szCs w:val="22"/>
              </w:rPr>
              <w:t>-й</w:t>
            </w:r>
            <w:r w:rsidRPr="00486F1C">
              <w:rPr>
                <w:rFonts w:ascii="Times New Roman" w:hAnsi="Times New Roman"/>
                <w:b/>
                <w:sz w:val="22"/>
                <w:szCs w:val="22"/>
              </w:rPr>
              <w:t xml:space="preserve"> пункта </w:t>
            </w:r>
            <w:r w:rsidR="001C74C6">
              <w:rPr>
                <w:rFonts w:ascii="Times New Roman" w:hAnsi="Times New Roman"/>
                <w:b/>
                <w:sz w:val="22"/>
                <w:szCs w:val="22"/>
              </w:rPr>
              <w:t>7</w:t>
            </w:r>
            <w:r w:rsidRPr="00486F1C">
              <w:rPr>
                <w:rFonts w:ascii="Times New Roman" w:hAnsi="Times New Roman"/>
                <w:b/>
                <w:sz w:val="22"/>
                <w:szCs w:val="22"/>
              </w:rPr>
              <w:t>.2. Решения о выпуске ценных бумаг</w:t>
            </w:r>
          </w:p>
        </w:tc>
      </w:tr>
      <w:tr w:rsidR="00185F85" w:rsidRPr="00185F85" w:rsidTr="00185F85">
        <w:tc>
          <w:tcPr>
            <w:tcW w:w="4956" w:type="dxa"/>
            <w:shd w:val="clear" w:color="auto" w:fill="FFFFFF" w:themeFill="background1"/>
          </w:tcPr>
          <w:p w:rsidR="00832B60" w:rsidRPr="00486F1C" w:rsidRDefault="00832B60" w:rsidP="00832B60">
            <w:pPr>
              <w:adjustRightInd w:val="0"/>
              <w:jc w:val="center"/>
              <w:outlineLvl w:val="5"/>
              <w:rPr>
                <w:rFonts w:ascii="Times New Roman" w:hAnsi="Times New Roman"/>
                <w:b/>
                <w:sz w:val="22"/>
                <w:szCs w:val="22"/>
              </w:rPr>
            </w:pPr>
            <w:r w:rsidRPr="00486F1C">
              <w:rPr>
                <w:rFonts w:ascii="Times New Roman" w:hAnsi="Times New Roman"/>
                <w:b/>
                <w:sz w:val="22"/>
                <w:szCs w:val="22"/>
              </w:rPr>
              <w:t>Текст изменяемой редакции</w:t>
            </w:r>
          </w:p>
        </w:tc>
        <w:tc>
          <w:tcPr>
            <w:tcW w:w="4956" w:type="dxa"/>
            <w:shd w:val="clear" w:color="auto" w:fill="FFFFFF" w:themeFill="background1"/>
          </w:tcPr>
          <w:p w:rsidR="00832B60" w:rsidRPr="00486F1C" w:rsidRDefault="00832B60" w:rsidP="00832B60">
            <w:pPr>
              <w:adjustRightInd w:val="0"/>
              <w:jc w:val="center"/>
              <w:outlineLvl w:val="5"/>
              <w:rPr>
                <w:rFonts w:ascii="Times New Roman" w:hAnsi="Times New Roman"/>
                <w:b/>
                <w:sz w:val="22"/>
                <w:szCs w:val="22"/>
              </w:rPr>
            </w:pPr>
            <w:r w:rsidRPr="00486F1C">
              <w:rPr>
                <w:rFonts w:ascii="Times New Roman" w:hAnsi="Times New Roman"/>
                <w:b/>
                <w:sz w:val="22"/>
                <w:szCs w:val="22"/>
              </w:rPr>
              <w:t>Текст новой редакции</w:t>
            </w:r>
          </w:p>
        </w:tc>
      </w:tr>
      <w:tr w:rsidR="005432D5" w:rsidRPr="00185F85" w:rsidTr="00185F85">
        <w:tc>
          <w:tcPr>
            <w:tcW w:w="4956" w:type="dxa"/>
            <w:shd w:val="clear" w:color="auto" w:fill="FFFFFF" w:themeFill="background1"/>
          </w:tcPr>
          <w:p w:rsidR="00350DFE" w:rsidRPr="00350DFE" w:rsidRDefault="00350DFE" w:rsidP="00350DFE">
            <w:pPr>
              <w:pStyle w:val="Default"/>
              <w:ind w:firstLine="540"/>
              <w:jc w:val="both"/>
              <w:rPr>
                <w:rFonts w:ascii="Times New Roman" w:hAnsi="Times New Roman"/>
                <w:iCs/>
                <w:color w:val="auto"/>
                <w:sz w:val="22"/>
                <w:szCs w:val="22"/>
              </w:rPr>
            </w:pPr>
            <w:r w:rsidRPr="00350DFE">
              <w:rPr>
                <w:rFonts w:ascii="Times New Roman" w:hAnsi="Times New Roman"/>
                <w:iCs/>
                <w:color w:val="auto"/>
                <w:sz w:val="22"/>
                <w:szCs w:val="22"/>
              </w:rPr>
              <w:t xml:space="preserve">Дата окончания размещения: </w:t>
            </w:r>
          </w:p>
          <w:p w:rsidR="00350DFE" w:rsidRPr="00350DFE" w:rsidRDefault="00350DFE" w:rsidP="00350DFE">
            <w:pPr>
              <w:pStyle w:val="Default"/>
              <w:ind w:firstLine="540"/>
              <w:jc w:val="both"/>
              <w:rPr>
                <w:rFonts w:ascii="Times New Roman" w:hAnsi="Times New Roman"/>
                <w:b/>
                <w:i/>
                <w:iCs/>
                <w:color w:val="auto"/>
                <w:sz w:val="22"/>
                <w:szCs w:val="22"/>
              </w:rPr>
            </w:pPr>
            <w:r w:rsidRPr="00350DFE">
              <w:rPr>
                <w:rFonts w:ascii="Times New Roman" w:hAnsi="Times New Roman"/>
                <w:b/>
                <w:i/>
                <w:iCs/>
                <w:color w:val="auto"/>
                <w:sz w:val="22"/>
                <w:szCs w:val="22"/>
              </w:rPr>
              <w:t xml:space="preserve">Датой окончания размещения Облигаций является наиболее ранняя из следующих дат: </w:t>
            </w:r>
          </w:p>
          <w:p w:rsidR="00350DFE" w:rsidRPr="00350DFE" w:rsidRDefault="00350DFE" w:rsidP="00350DFE">
            <w:pPr>
              <w:pStyle w:val="Default"/>
              <w:ind w:firstLine="540"/>
              <w:jc w:val="both"/>
              <w:rPr>
                <w:rFonts w:ascii="Times New Roman" w:hAnsi="Times New Roman"/>
                <w:b/>
                <w:i/>
                <w:iCs/>
                <w:color w:val="auto"/>
                <w:sz w:val="22"/>
                <w:szCs w:val="22"/>
              </w:rPr>
            </w:pPr>
            <w:r w:rsidRPr="00350DFE">
              <w:rPr>
                <w:rFonts w:ascii="Times New Roman" w:hAnsi="Times New Roman"/>
                <w:b/>
                <w:i/>
                <w:iCs/>
                <w:color w:val="auto"/>
                <w:sz w:val="22"/>
                <w:szCs w:val="22"/>
              </w:rPr>
              <w:t xml:space="preserve">– </w:t>
            </w:r>
            <w:r>
              <w:rPr>
                <w:rFonts w:ascii="Times New Roman" w:hAnsi="Times New Roman"/>
                <w:b/>
                <w:i/>
                <w:iCs/>
                <w:color w:val="auto"/>
                <w:sz w:val="22"/>
                <w:szCs w:val="22"/>
              </w:rPr>
              <w:t xml:space="preserve">5 </w:t>
            </w:r>
            <w:r w:rsidRPr="00350DFE">
              <w:rPr>
                <w:rFonts w:ascii="Times New Roman" w:hAnsi="Times New Roman"/>
                <w:b/>
                <w:i/>
                <w:iCs/>
                <w:color w:val="auto"/>
                <w:sz w:val="22"/>
                <w:szCs w:val="22"/>
              </w:rPr>
              <w:t>(</w:t>
            </w:r>
            <w:r>
              <w:rPr>
                <w:rFonts w:ascii="Times New Roman" w:hAnsi="Times New Roman"/>
                <w:b/>
                <w:i/>
                <w:iCs/>
                <w:color w:val="auto"/>
                <w:sz w:val="22"/>
                <w:szCs w:val="22"/>
              </w:rPr>
              <w:t>Пятый</w:t>
            </w:r>
            <w:r w:rsidRPr="00350DFE">
              <w:rPr>
                <w:rFonts w:ascii="Times New Roman" w:hAnsi="Times New Roman"/>
                <w:b/>
                <w:i/>
                <w:iCs/>
                <w:color w:val="auto"/>
                <w:sz w:val="22"/>
                <w:szCs w:val="22"/>
              </w:rPr>
              <w:t xml:space="preserve">) рабочий день с даты начала размещения; </w:t>
            </w:r>
          </w:p>
          <w:p w:rsidR="00350DFE" w:rsidRPr="00350DFE" w:rsidRDefault="00350DFE" w:rsidP="00350DFE">
            <w:pPr>
              <w:pStyle w:val="Default"/>
              <w:ind w:firstLine="540"/>
              <w:jc w:val="both"/>
              <w:rPr>
                <w:rFonts w:ascii="Times New Roman" w:hAnsi="Times New Roman"/>
                <w:b/>
                <w:i/>
                <w:iCs/>
                <w:color w:val="auto"/>
                <w:sz w:val="22"/>
                <w:szCs w:val="22"/>
              </w:rPr>
            </w:pPr>
            <w:r w:rsidRPr="00350DFE">
              <w:rPr>
                <w:rFonts w:ascii="Times New Roman" w:hAnsi="Times New Roman"/>
                <w:b/>
                <w:i/>
                <w:iCs/>
                <w:color w:val="auto"/>
                <w:sz w:val="22"/>
                <w:szCs w:val="22"/>
              </w:rPr>
              <w:t xml:space="preserve">– дата размещения последней Облигации настоящего выпуска. </w:t>
            </w:r>
          </w:p>
          <w:p w:rsidR="005432D5" w:rsidRPr="00486F1C" w:rsidRDefault="00350DFE" w:rsidP="00350DFE">
            <w:pPr>
              <w:pStyle w:val="Default"/>
              <w:ind w:firstLine="540"/>
              <w:jc w:val="both"/>
              <w:rPr>
                <w:b/>
                <w:sz w:val="22"/>
                <w:szCs w:val="22"/>
              </w:rPr>
            </w:pPr>
            <w:r w:rsidRPr="00350DFE">
              <w:rPr>
                <w:rFonts w:ascii="Times New Roman" w:hAnsi="Times New Roman"/>
                <w:b/>
                <w:i/>
                <w:iCs/>
                <w:color w:val="auto"/>
                <w:sz w:val="22"/>
                <w:szCs w:val="22"/>
              </w:rPr>
              <w:t xml:space="preserve">При этом дата окончания размещения не может быть позднее </w:t>
            </w:r>
            <w:r>
              <w:rPr>
                <w:rFonts w:ascii="Times New Roman" w:hAnsi="Times New Roman"/>
                <w:b/>
                <w:i/>
                <w:iCs/>
                <w:color w:val="auto"/>
                <w:sz w:val="22"/>
                <w:szCs w:val="22"/>
              </w:rPr>
              <w:t>одного года</w:t>
            </w:r>
            <w:r w:rsidRPr="00350DFE">
              <w:rPr>
                <w:rFonts w:ascii="Times New Roman" w:hAnsi="Times New Roman"/>
                <w:b/>
                <w:i/>
                <w:iCs/>
                <w:color w:val="auto"/>
                <w:sz w:val="22"/>
                <w:szCs w:val="22"/>
              </w:rPr>
              <w:t xml:space="preserve"> с даты государственной регистрации выпуска Облигаций.</w:t>
            </w:r>
          </w:p>
        </w:tc>
        <w:tc>
          <w:tcPr>
            <w:tcW w:w="4956" w:type="dxa"/>
            <w:shd w:val="clear" w:color="auto" w:fill="FFFFFF" w:themeFill="background1"/>
          </w:tcPr>
          <w:p w:rsidR="00350DFE" w:rsidRPr="00350DFE" w:rsidRDefault="00350DFE" w:rsidP="00350DFE">
            <w:pPr>
              <w:pStyle w:val="Default"/>
              <w:ind w:firstLine="540"/>
              <w:jc w:val="both"/>
              <w:rPr>
                <w:rFonts w:ascii="Times New Roman" w:hAnsi="Times New Roman"/>
                <w:iCs/>
                <w:color w:val="auto"/>
                <w:sz w:val="22"/>
                <w:szCs w:val="22"/>
              </w:rPr>
            </w:pPr>
            <w:r w:rsidRPr="00350DFE">
              <w:rPr>
                <w:rFonts w:ascii="Times New Roman" w:hAnsi="Times New Roman"/>
                <w:iCs/>
                <w:color w:val="auto"/>
                <w:sz w:val="22"/>
                <w:szCs w:val="22"/>
              </w:rPr>
              <w:t xml:space="preserve">Дата окончания размещения: </w:t>
            </w:r>
          </w:p>
          <w:p w:rsidR="00350DFE" w:rsidRPr="008256F8" w:rsidRDefault="00350DFE" w:rsidP="00350DFE">
            <w:pPr>
              <w:pStyle w:val="Default"/>
              <w:ind w:firstLine="540"/>
              <w:jc w:val="both"/>
              <w:rPr>
                <w:rFonts w:ascii="Times New Roman" w:hAnsi="Times New Roman"/>
                <w:b/>
                <w:i/>
                <w:iCs/>
                <w:color w:val="auto"/>
                <w:sz w:val="22"/>
                <w:szCs w:val="22"/>
              </w:rPr>
            </w:pPr>
            <w:r w:rsidRPr="008256F8">
              <w:rPr>
                <w:rFonts w:ascii="Times New Roman" w:hAnsi="Times New Roman"/>
                <w:b/>
                <w:i/>
                <w:iCs/>
                <w:color w:val="auto"/>
                <w:sz w:val="22"/>
                <w:szCs w:val="22"/>
              </w:rPr>
              <w:t xml:space="preserve">Датой окончания размещения Облигаций является наиболее ранняя из следующих дат: </w:t>
            </w:r>
          </w:p>
          <w:p w:rsidR="00350DFE" w:rsidRPr="008256F8" w:rsidRDefault="00350DFE" w:rsidP="00350DFE">
            <w:pPr>
              <w:pStyle w:val="Default"/>
              <w:ind w:firstLine="540"/>
              <w:jc w:val="both"/>
              <w:rPr>
                <w:rFonts w:ascii="Times New Roman" w:hAnsi="Times New Roman"/>
                <w:b/>
                <w:i/>
                <w:iCs/>
                <w:color w:val="auto"/>
                <w:sz w:val="22"/>
                <w:szCs w:val="22"/>
              </w:rPr>
            </w:pPr>
            <w:r w:rsidRPr="008256F8">
              <w:rPr>
                <w:rFonts w:ascii="Times New Roman" w:hAnsi="Times New Roman"/>
                <w:b/>
                <w:i/>
                <w:iCs/>
                <w:color w:val="auto"/>
                <w:sz w:val="22"/>
                <w:szCs w:val="22"/>
              </w:rPr>
              <w:t xml:space="preserve">– </w:t>
            </w:r>
            <w:r w:rsidR="001013FA">
              <w:rPr>
                <w:rFonts w:ascii="Times New Roman" w:hAnsi="Times New Roman"/>
                <w:b/>
                <w:i/>
                <w:iCs/>
                <w:color w:val="auto"/>
                <w:sz w:val="22"/>
                <w:szCs w:val="22"/>
              </w:rPr>
              <w:t>1</w:t>
            </w:r>
            <w:r w:rsidR="008256F8" w:rsidRPr="008256F8">
              <w:rPr>
                <w:rFonts w:ascii="Times New Roman" w:hAnsi="Times New Roman"/>
                <w:b/>
                <w:i/>
                <w:iCs/>
                <w:color w:val="auto"/>
                <w:sz w:val="22"/>
                <w:szCs w:val="22"/>
              </w:rPr>
              <w:t xml:space="preserve">0 </w:t>
            </w:r>
            <w:r w:rsidRPr="008256F8">
              <w:rPr>
                <w:rFonts w:ascii="Times New Roman" w:hAnsi="Times New Roman"/>
                <w:b/>
                <w:i/>
                <w:iCs/>
                <w:color w:val="auto"/>
                <w:sz w:val="22"/>
                <w:szCs w:val="22"/>
              </w:rPr>
              <w:t>(</w:t>
            </w:r>
            <w:r w:rsidR="004F44BD">
              <w:rPr>
                <w:rFonts w:ascii="Times New Roman" w:hAnsi="Times New Roman"/>
                <w:b/>
                <w:i/>
                <w:iCs/>
                <w:color w:val="auto"/>
                <w:sz w:val="22"/>
                <w:szCs w:val="22"/>
              </w:rPr>
              <w:t>Д</w:t>
            </w:r>
            <w:r w:rsidR="001013FA">
              <w:rPr>
                <w:rFonts w:ascii="Times New Roman" w:hAnsi="Times New Roman"/>
                <w:b/>
                <w:i/>
                <w:iCs/>
                <w:color w:val="auto"/>
                <w:sz w:val="22"/>
                <w:szCs w:val="22"/>
              </w:rPr>
              <w:t>есятый</w:t>
            </w:r>
            <w:r w:rsidRPr="008256F8">
              <w:rPr>
                <w:rFonts w:ascii="Times New Roman" w:hAnsi="Times New Roman"/>
                <w:b/>
                <w:i/>
                <w:iCs/>
                <w:color w:val="auto"/>
                <w:sz w:val="22"/>
                <w:szCs w:val="22"/>
              </w:rPr>
              <w:t xml:space="preserve">) рабочий день с даты начала размещения; </w:t>
            </w:r>
          </w:p>
          <w:p w:rsidR="00350DFE" w:rsidRPr="00350DFE" w:rsidRDefault="00350DFE" w:rsidP="00350DFE">
            <w:pPr>
              <w:pStyle w:val="Default"/>
              <w:ind w:firstLine="540"/>
              <w:jc w:val="both"/>
              <w:rPr>
                <w:rFonts w:ascii="Times New Roman" w:hAnsi="Times New Roman"/>
                <w:b/>
                <w:i/>
                <w:iCs/>
                <w:color w:val="auto"/>
                <w:sz w:val="22"/>
                <w:szCs w:val="22"/>
              </w:rPr>
            </w:pPr>
            <w:r w:rsidRPr="008256F8">
              <w:rPr>
                <w:rFonts w:ascii="Times New Roman" w:hAnsi="Times New Roman"/>
                <w:b/>
                <w:i/>
                <w:iCs/>
                <w:color w:val="auto"/>
                <w:sz w:val="22"/>
                <w:szCs w:val="22"/>
              </w:rPr>
              <w:t>– дата размещения</w:t>
            </w:r>
            <w:r w:rsidRPr="00350DFE">
              <w:rPr>
                <w:rFonts w:ascii="Times New Roman" w:hAnsi="Times New Roman"/>
                <w:b/>
                <w:i/>
                <w:iCs/>
                <w:color w:val="auto"/>
                <w:sz w:val="22"/>
                <w:szCs w:val="22"/>
              </w:rPr>
              <w:t xml:space="preserve"> последней Облигации настоящего выпуска. </w:t>
            </w:r>
          </w:p>
          <w:p w:rsidR="005432D5" w:rsidRPr="00486F1C" w:rsidRDefault="00350DFE" w:rsidP="00350DFE">
            <w:pPr>
              <w:pStyle w:val="Default"/>
              <w:ind w:firstLine="540"/>
              <w:jc w:val="both"/>
              <w:rPr>
                <w:b/>
                <w:sz w:val="22"/>
                <w:szCs w:val="22"/>
              </w:rPr>
            </w:pPr>
            <w:r w:rsidRPr="00350DFE">
              <w:rPr>
                <w:rFonts w:ascii="Times New Roman" w:hAnsi="Times New Roman"/>
                <w:b/>
                <w:i/>
                <w:iCs/>
                <w:color w:val="auto"/>
                <w:sz w:val="22"/>
                <w:szCs w:val="22"/>
              </w:rPr>
              <w:t>При этом дата окончания размещения не может быть позднее двух лет с даты государственной регистрации выпуска Облигаций.</w:t>
            </w:r>
            <w:r w:rsidRPr="000E3819">
              <w:rPr>
                <w:b/>
                <w:i/>
                <w:iCs/>
                <w:sz w:val="22"/>
                <w:szCs w:val="22"/>
              </w:rPr>
              <w:t xml:space="preserve"> </w:t>
            </w:r>
          </w:p>
        </w:tc>
      </w:tr>
      <w:tr w:rsidR="005432D5" w:rsidRPr="00185F85" w:rsidTr="00C24049">
        <w:tc>
          <w:tcPr>
            <w:tcW w:w="9912" w:type="dxa"/>
            <w:gridSpan w:val="2"/>
            <w:shd w:val="clear" w:color="auto" w:fill="FFFFFF" w:themeFill="background1"/>
          </w:tcPr>
          <w:p w:rsidR="005432D5" w:rsidRPr="00486F1C" w:rsidRDefault="005432D5" w:rsidP="005432D5">
            <w:pPr>
              <w:pStyle w:val="af5"/>
              <w:numPr>
                <w:ilvl w:val="0"/>
                <w:numId w:val="1"/>
              </w:numPr>
              <w:adjustRightInd w:val="0"/>
              <w:outlineLvl w:val="5"/>
              <w:rPr>
                <w:b/>
                <w:sz w:val="22"/>
                <w:szCs w:val="22"/>
              </w:rPr>
            </w:pPr>
            <w:r w:rsidRPr="00486F1C">
              <w:rPr>
                <w:rFonts w:ascii="Times New Roman" w:hAnsi="Times New Roman"/>
                <w:b/>
                <w:sz w:val="22"/>
                <w:szCs w:val="22"/>
              </w:rPr>
              <w:t>Изменения вносятся в 3-й абзац пункта 8.2. Решения о выпуске ценных бумаг</w:t>
            </w:r>
          </w:p>
        </w:tc>
      </w:tr>
      <w:tr w:rsidR="005432D5" w:rsidRPr="00185F85" w:rsidTr="00185F85">
        <w:tc>
          <w:tcPr>
            <w:tcW w:w="4956" w:type="dxa"/>
            <w:shd w:val="clear" w:color="auto" w:fill="FFFFFF" w:themeFill="background1"/>
          </w:tcPr>
          <w:p w:rsidR="005432D5" w:rsidRPr="00486F1C" w:rsidRDefault="005432D5" w:rsidP="005432D5">
            <w:pPr>
              <w:adjustRightInd w:val="0"/>
              <w:jc w:val="center"/>
              <w:outlineLvl w:val="5"/>
              <w:rPr>
                <w:b/>
                <w:sz w:val="22"/>
                <w:szCs w:val="22"/>
              </w:rPr>
            </w:pPr>
            <w:r w:rsidRPr="00486F1C">
              <w:rPr>
                <w:rFonts w:ascii="Times New Roman" w:hAnsi="Times New Roman"/>
                <w:b/>
                <w:sz w:val="22"/>
                <w:szCs w:val="22"/>
              </w:rPr>
              <w:t>Текст изменяемой редакции</w:t>
            </w:r>
          </w:p>
        </w:tc>
        <w:tc>
          <w:tcPr>
            <w:tcW w:w="4956" w:type="dxa"/>
            <w:shd w:val="clear" w:color="auto" w:fill="FFFFFF" w:themeFill="background1"/>
          </w:tcPr>
          <w:p w:rsidR="005432D5" w:rsidRPr="00486F1C" w:rsidRDefault="005432D5" w:rsidP="005432D5">
            <w:pPr>
              <w:adjustRightInd w:val="0"/>
              <w:jc w:val="center"/>
              <w:outlineLvl w:val="5"/>
              <w:rPr>
                <w:b/>
                <w:sz w:val="22"/>
                <w:szCs w:val="22"/>
              </w:rPr>
            </w:pPr>
            <w:r w:rsidRPr="00486F1C">
              <w:rPr>
                <w:rFonts w:ascii="Times New Roman" w:hAnsi="Times New Roman"/>
                <w:b/>
                <w:sz w:val="22"/>
                <w:szCs w:val="22"/>
              </w:rPr>
              <w:t>Текст новой редакции</w:t>
            </w:r>
          </w:p>
        </w:tc>
      </w:tr>
      <w:tr w:rsidR="005432D5" w:rsidRPr="00185F85" w:rsidTr="00185F85">
        <w:tc>
          <w:tcPr>
            <w:tcW w:w="4956" w:type="dxa"/>
            <w:shd w:val="clear" w:color="auto" w:fill="FFFFFF" w:themeFill="background1"/>
          </w:tcPr>
          <w:p w:rsidR="005432D5" w:rsidRPr="00486F1C" w:rsidRDefault="005432D5" w:rsidP="005432D5">
            <w:pPr>
              <w:pStyle w:val="Default"/>
              <w:ind w:firstLine="540"/>
              <w:jc w:val="both"/>
              <w:rPr>
                <w:rFonts w:ascii="Times New Roman" w:hAnsi="Times New Roman"/>
                <w:iCs/>
                <w:color w:val="auto"/>
                <w:sz w:val="22"/>
                <w:szCs w:val="22"/>
              </w:rPr>
            </w:pPr>
            <w:r w:rsidRPr="00486F1C">
              <w:rPr>
                <w:rFonts w:ascii="Times New Roman" w:hAnsi="Times New Roman"/>
                <w:iCs/>
                <w:color w:val="auto"/>
                <w:sz w:val="22"/>
                <w:szCs w:val="22"/>
              </w:rPr>
              <w:t xml:space="preserve">Срок (дата) выплаты дохода: </w:t>
            </w:r>
          </w:p>
          <w:p w:rsidR="005432D5" w:rsidRPr="00486F1C" w:rsidRDefault="005432D5" w:rsidP="005432D5">
            <w:pPr>
              <w:pStyle w:val="Default"/>
              <w:ind w:firstLine="540"/>
              <w:jc w:val="both"/>
              <w:rPr>
                <w:rFonts w:ascii="Times New Roman" w:hAnsi="Times New Roman"/>
                <w:b/>
                <w:i/>
                <w:iCs/>
                <w:color w:val="auto"/>
                <w:sz w:val="22"/>
                <w:szCs w:val="22"/>
              </w:rPr>
            </w:pPr>
            <w:r w:rsidRPr="00486F1C">
              <w:rPr>
                <w:rFonts w:ascii="Times New Roman" w:hAnsi="Times New Roman"/>
                <w:b/>
                <w:i/>
                <w:iCs/>
                <w:color w:val="auto"/>
                <w:sz w:val="22"/>
                <w:szCs w:val="22"/>
              </w:rPr>
              <w:t>Период обращения Облигаций разделен на купонные периоды. Облигации имеют                                 20 (Двадцать) купонных периодов. Длительность каждого из купонных периодов устанавливается равной 182 (Ста восьмидесяти двум) дням. Датой начала первого купонного периода является дата начала размещения Облигаций, датой начала каждого последующего купонного периода (начиная со второго) является дата, следующая за датой окончания предыдущего купонного периода.</w:t>
            </w:r>
          </w:p>
        </w:tc>
        <w:tc>
          <w:tcPr>
            <w:tcW w:w="4956" w:type="dxa"/>
            <w:shd w:val="clear" w:color="auto" w:fill="FFFFFF" w:themeFill="background1"/>
          </w:tcPr>
          <w:p w:rsidR="005432D5" w:rsidRPr="00486F1C" w:rsidRDefault="005432D5" w:rsidP="005432D5">
            <w:pPr>
              <w:pStyle w:val="Default"/>
              <w:ind w:firstLine="540"/>
              <w:jc w:val="both"/>
              <w:rPr>
                <w:rFonts w:ascii="Times New Roman" w:hAnsi="Times New Roman"/>
                <w:iCs/>
                <w:color w:val="auto"/>
                <w:sz w:val="22"/>
                <w:szCs w:val="22"/>
              </w:rPr>
            </w:pPr>
            <w:r w:rsidRPr="00486F1C">
              <w:rPr>
                <w:rFonts w:ascii="Times New Roman" w:hAnsi="Times New Roman"/>
                <w:iCs/>
                <w:color w:val="auto"/>
                <w:sz w:val="22"/>
                <w:szCs w:val="22"/>
              </w:rPr>
              <w:t xml:space="preserve">Срок (дата) выплаты дохода: </w:t>
            </w:r>
          </w:p>
          <w:p w:rsidR="005432D5" w:rsidRPr="00486F1C" w:rsidRDefault="005432D5" w:rsidP="005432D5">
            <w:pPr>
              <w:pStyle w:val="Default"/>
              <w:ind w:firstLine="540"/>
              <w:jc w:val="both"/>
              <w:rPr>
                <w:rFonts w:ascii="Times New Roman" w:hAnsi="Times New Roman"/>
                <w:b/>
                <w:i/>
                <w:iCs/>
                <w:color w:val="auto"/>
                <w:sz w:val="22"/>
                <w:szCs w:val="22"/>
              </w:rPr>
            </w:pPr>
            <w:r w:rsidRPr="00486F1C">
              <w:rPr>
                <w:rFonts w:ascii="Times New Roman" w:hAnsi="Times New Roman"/>
                <w:b/>
                <w:i/>
                <w:iCs/>
                <w:color w:val="auto"/>
                <w:sz w:val="22"/>
                <w:szCs w:val="22"/>
              </w:rPr>
              <w:t>Период обращения Облигаций разделен на купонные периоды. Облигации имеют                                 20 (Двадцать) купонных периодов. Длительность каждого из купонных периодов устанавливается равной 182 (Ста восьмидесяти двум) дням. Датой начала первого купонного периода является дата начала размещения Облигаций.</w:t>
            </w:r>
          </w:p>
        </w:tc>
      </w:tr>
      <w:tr w:rsidR="005432D5" w:rsidRPr="00185F85" w:rsidTr="005A41C7">
        <w:tc>
          <w:tcPr>
            <w:tcW w:w="9912" w:type="dxa"/>
            <w:gridSpan w:val="2"/>
            <w:shd w:val="clear" w:color="auto" w:fill="FFFFFF" w:themeFill="background1"/>
          </w:tcPr>
          <w:p w:rsidR="005432D5" w:rsidRPr="00486F1C" w:rsidRDefault="005432D5" w:rsidP="005432D5">
            <w:pPr>
              <w:pStyle w:val="Default"/>
              <w:numPr>
                <w:ilvl w:val="0"/>
                <w:numId w:val="1"/>
              </w:numPr>
              <w:jc w:val="both"/>
              <w:rPr>
                <w:rFonts w:ascii="Times New Roman" w:hAnsi="Times New Roman"/>
                <w:iCs/>
                <w:color w:val="auto"/>
                <w:sz w:val="22"/>
                <w:szCs w:val="22"/>
              </w:rPr>
            </w:pPr>
            <w:r w:rsidRPr="00486F1C">
              <w:rPr>
                <w:rFonts w:ascii="Times New Roman" w:hAnsi="Times New Roman"/>
                <w:b/>
                <w:sz w:val="22"/>
                <w:szCs w:val="22"/>
              </w:rPr>
              <w:t>Изменения вносятся в абзацы с 47-го по 59-й пункта 8.2. Решения о выпуске ценных бумаг</w:t>
            </w:r>
          </w:p>
        </w:tc>
      </w:tr>
      <w:tr w:rsidR="005432D5" w:rsidRPr="00185F85" w:rsidTr="00185F85">
        <w:tc>
          <w:tcPr>
            <w:tcW w:w="4956" w:type="dxa"/>
            <w:shd w:val="clear" w:color="auto" w:fill="FFFFFF" w:themeFill="background1"/>
          </w:tcPr>
          <w:p w:rsidR="005432D5" w:rsidRPr="00486F1C" w:rsidRDefault="005432D5" w:rsidP="005432D5">
            <w:pPr>
              <w:pStyle w:val="Default"/>
              <w:ind w:firstLine="540"/>
              <w:jc w:val="both"/>
              <w:rPr>
                <w:rFonts w:ascii="Times New Roman" w:hAnsi="Times New Roman"/>
                <w:iCs/>
                <w:color w:val="auto"/>
                <w:sz w:val="22"/>
                <w:szCs w:val="22"/>
              </w:rPr>
            </w:pPr>
            <w:r w:rsidRPr="00486F1C">
              <w:rPr>
                <w:rFonts w:ascii="Times New Roman" w:hAnsi="Times New Roman"/>
                <w:b/>
                <w:sz w:val="22"/>
                <w:szCs w:val="22"/>
              </w:rPr>
              <w:t>Текст изменяемой редакции</w:t>
            </w:r>
          </w:p>
        </w:tc>
        <w:tc>
          <w:tcPr>
            <w:tcW w:w="4956" w:type="dxa"/>
            <w:shd w:val="clear" w:color="auto" w:fill="FFFFFF" w:themeFill="background1"/>
          </w:tcPr>
          <w:p w:rsidR="005432D5" w:rsidRPr="00486F1C" w:rsidRDefault="005432D5" w:rsidP="005432D5">
            <w:pPr>
              <w:pStyle w:val="Default"/>
              <w:ind w:firstLine="540"/>
              <w:jc w:val="both"/>
              <w:rPr>
                <w:rFonts w:ascii="Times New Roman" w:hAnsi="Times New Roman"/>
                <w:iCs/>
                <w:color w:val="auto"/>
                <w:sz w:val="22"/>
                <w:szCs w:val="22"/>
              </w:rPr>
            </w:pPr>
            <w:r w:rsidRPr="00486F1C">
              <w:rPr>
                <w:rFonts w:ascii="Times New Roman" w:hAnsi="Times New Roman"/>
                <w:b/>
                <w:sz w:val="22"/>
                <w:szCs w:val="22"/>
              </w:rPr>
              <w:t>Текст новой редакции</w:t>
            </w:r>
          </w:p>
        </w:tc>
      </w:tr>
      <w:tr w:rsidR="005432D5" w:rsidRPr="00185F85" w:rsidTr="00185F85">
        <w:tc>
          <w:tcPr>
            <w:tcW w:w="4956" w:type="dxa"/>
            <w:shd w:val="clear" w:color="auto" w:fill="FFFFFF" w:themeFill="background1"/>
          </w:tcPr>
          <w:p w:rsidR="005432D5" w:rsidRPr="00865B33" w:rsidRDefault="005432D5" w:rsidP="005432D5">
            <w:pPr>
              <w:pStyle w:val="Default"/>
              <w:ind w:firstLine="540"/>
              <w:jc w:val="both"/>
              <w:rPr>
                <w:rFonts w:ascii="Times New Roman" w:hAnsi="Times New Roman"/>
                <w:iCs/>
                <w:color w:val="auto"/>
                <w:sz w:val="22"/>
                <w:szCs w:val="22"/>
              </w:rPr>
            </w:pPr>
            <w:r w:rsidRPr="00865B33">
              <w:rPr>
                <w:rFonts w:ascii="Times New Roman" w:hAnsi="Times New Roman"/>
                <w:iCs/>
                <w:color w:val="auto"/>
                <w:sz w:val="22"/>
                <w:szCs w:val="22"/>
              </w:rPr>
              <w:t xml:space="preserve">Указывается информация о наличии (отсутствии) у кредитной организации-эмитента права отказаться в одностороннем порядке от уплаты процента (купона) по облигациям: </w:t>
            </w:r>
          </w:p>
          <w:p w:rsidR="005432D5" w:rsidRPr="00865B33" w:rsidRDefault="005432D5" w:rsidP="005432D5">
            <w:pPr>
              <w:pStyle w:val="Default"/>
              <w:ind w:firstLine="540"/>
              <w:jc w:val="both"/>
              <w:rPr>
                <w:rFonts w:ascii="Times New Roman" w:hAnsi="Times New Roman"/>
                <w:b/>
                <w:i/>
                <w:iCs/>
                <w:color w:val="auto"/>
                <w:sz w:val="22"/>
                <w:szCs w:val="22"/>
              </w:rPr>
            </w:pPr>
            <w:r w:rsidRPr="00865B33">
              <w:rPr>
                <w:rFonts w:ascii="Times New Roman" w:hAnsi="Times New Roman"/>
                <w:b/>
                <w:i/>
                <w:iCs/>
                <w:color w:val="auto"/>
                <w:sz w:val="22"/>
                <w:szCs w:val="22"/>
              </w:rPr>
              <w:t xml:space="preserve">В случае если выпуск Облигаций будет соответствовать требованиям федеральных законов, установленным для субординированных облигационных займов, и Банком России будет согласовано включение средств, привлеченных в результате размещения Облигаций, в состав источников дополнительного капитала, кредитная организация-эмитент вправе отказаться в одностороннем порядке от уплаты дохода по Облигациям. </w:t>
            </w:r>
          </w:p>
          <w:p w:rsidR="005432D5" w:rsidRPr="00865B33" w:rsidRDefault="005432D5" w:rsidP="005432D5">
            <w:pPr>
              <w:ind w:firstLine="540"/>
              <w:jc w:val="both"/>
              <w:rPr>
                <w:rFonts w:ascii="Times New Roman" w:hAnsi="Times New Roman"/>
                <w:b/>
                <w:i/>
                <w:iCs/>
                <w:sz w:val="22"/>
                <w:szCs w:val="22"/>
              </w:rPr>
            </w:pPr>
            <w:r w:rsidRPr="00865B33">
              <w:rPr>
                <w:rFonts w:ascii="Times New Roman" w:hAnsi="Times New Roman"/>
                <w:b/>
                <w:i/>
                <w:iCs/>
                <w:sz w:val="22"/>
                <w:szCs w:val="22"/>
              </w:rPr>
              <w:t xml:space="preserve">Приобретение Облигаций означает согласие приобретателя (владельца) Облигаций с возможностью принятия в указанном выше случае кредитной организацией-эмитентом без согласия владельцев Облигаций решения (решений) об отказе от уплаты доходов по Облигациям. </w:t>
            </w:r>
          </w:p>
          <w:p w:rsidR="005432D5" w:rsidRPr="00865B33" w:rsidRDefault="005432D5" w:rsidP="005432D5">
            <w:pPr>
              <w:pStyle w:val="Default"/>
              <w:ind w:firstLine="540"/>
              <w:jc w:val="both"/>
              <w:rPr>
                <w:rFonts w:ascii="Times New Roman" w:hAnsi="Times New Roman"/>
                <w:b/>
                <w:i/>
                <w:iCs/>
                <w:color w:val="auto"/>
                <w:sz w:val="22"/>
                <w:szCs w:val="22"/>
              </w:rPr>
            </w:pPr>
            <w:r w:rsidRPr="00865B33">
              <w:rPr>
                <w:rFonts w:ascii="Times New Roman" w:hAnsi="Times New Roman"/>
                <w:b/>
                <w:i/>
                <w:iCs/>
                <w:color w:val="auto"/>
                <w:sz w:val="22"/>
                <w:szCs w:val="22"/>
              </w:rPr>
              <w:t xml:space="preserve">В течение периода обращения Облигаций Эмитент может принять решение (решения) об отказе в одностороннем порядке от уплаты </w:t>
            </w:r>
            <w:r w:rsidRPr="00865B33">
              <w:rPr>
                <w:rFonts w:ascii="Times New Roman" w:hAnsi="Times New Roman"/>
                <w:b/>
                <w:i/>
                <w:iCs/>
                <w:color w:val="auto"/>
                <w:sz w:val="22"/>
                <w:szCs w:val="22"/>
              </w:rPr>
              <w:lastRenderedPageBreak/>
              <w:t xml:space="preserve">дохода по Облигациям по купонному (купонным) периоду (периодам), по которому (которым) кредитной организацией-эмитентом начислен доход. Решение об отказе в одностороннем порядке от уплаты дохода по Облигациям по купонному (купонным) периоду (периодам), по которому (которым) кредитной организацией-эмитентом начислен доход, принимается не позднее, чем за 14 (Четырнадцать) дней до даты окончания очередного купонного периода, по которому начислен доход. </w:t>
            </w:r>
          </w:p>
          <w:p w:rsidR="005432D5" w:rsidRPr="00865B33" w:rsidRDefault="005432D5" w:rsidP="005432D5">
            <w:pPr>
              <w:pStyle w:val="Default"/>
              <w:ind w:firstLine="540"/>
              <w:jc w:val="both"/>
              <w:rPr>
                <w:rFonts w:ascii="Times New Roman" w:hAnsi="Times New Roman"/>
                <w:b/>
                <w:i/>
                <w:iCs/>
                <w:color w:val="auto"/>
                <w:sz w:val="22"/>
                <w:szCs w:val="22"/>
              </w:rPr>
            </w:pPr>
            <w:r w:rsidRPr="00865B33">
              <w:rPr>
                <w:rFonts w:ascii="Times New Roman" w:hAnsi="Times New Roman"/>
                <w:b/>
                <w:i/>
                <w:iCs/>
                <w:color w:val="auto"/>
                <w:sz w:val="22"/>
                <w:szCs w:val="22"/>
              </w:rPr>
              <w:t xml:space="preserve">Решение об отказе от уплаты дохода по Облигациям принимается уполномоченным органом Эмитента. </w:t>
            </w:r>
          </w:p>
          <w:p w:rsidR="005432D5" w:rsidRPr="00865B33" w:rsidRDefault="005432D5" w:rsidP="005432D5">
            <w:pPr>
              <w:ind w:firstLine="540"/>
              <w:jc w:val="both"/>
              <w:rPr>
                <w:rFonts w:ascii="Times New Roman" w:hAnsi="Times New Roman"/>
                <w:b/>
                <w:i/>
                <w:iCs/>
                <w:sz w:val="22"/>
                <w:szCs w:val="22"/>
              </w:rPr>
            </w:pPr>
            <w:r w:rsidRPr="00865B33">
              <w:rPr>
                <w:rFonts w:ascii="Times New Roman" w:hAnsi="Times New Roman"/>
                <w:b/>
                <w:i/>
                <w:iCs/>
                <w:sz w:val="22"/>
                <w:szCs w:val="22"/>
              </w:rPr>
              <w:t>Реализация Эмитентом указанного права не влечет за собой возникновение финансовых санкций за неисполнение обязательств по уплате процентов по субординированному облигационному займу. Реализация Эмитентом указанного права осуществляется в отношении всех Облигаций выпуска.</w:t>
            </w:r>
          </w:p>
          <w:p w:rsidR="005432D5" w:rsidRPr="00865B33" w:rsidRDefault="005432D5" w:rsidP="005432D5">
            <w:pPr>
              <w:ind w:firstLine="540"/>
              <w:jc w:val="both"/>
              <w:rPr>
                <w:rFonts w:ascii="Times New Roman" w:hAnsi="Times New Roman"/>
                <w:b/>
                <w:i/>
                <w:iCs/>
                <w:sz w:val="22"/>
                <w:szCs w:val="22"/>
              </w:rPr>
            </w:pPr>
          </w:p>
          <w:p w:rsidR="005432D5" w:rsidRPr="00865B33" w:rsidRDefault="005432D5" w:rsidP="005432D5">
            <w:pPr>
              <w:pStyle w:val="Default"/>
              <w:ind w:firstLine="540"/>
              <w:jc w:val="both"/>
              <w:rPr>
                <w:rFonts w:ascii="Times New Roman" w:hAnsi="Times New Roman"/>
                <w:iCs/>
                <w:color w:val="auto"/>
                <w:sz w:val="22"/>
                <w:szCs w:val="22"/>
              </w:rPr>
            </w:pPr>
            <w:r w:rsidRPr="00865B33">
              <w:rPr>
                <w:rFonts w:ascii="Times New Roman" w:hAnsi="Times New Roman"/>
                <w:iCs/>
                <w:color w:val="auto"/>
                <w:sz w:val="22"/>
                <w:szCs w:val="22"/>
              </w:rPr>
              <w:t xml:space="preserve">Порядок и срок раскрытия информации об отказе кредитной организации-эмитента от уплаты дохода по облигациям: </w:t>
            </w:r>
          </w:p>
          <w:p w:rsidR="005432D5" w:rsidRPr="00865B33" w:rsidRDefault="005432D5" w:rsidP="005432D5">
            <w:pPr>
              <w:pStyle w:val="Default"/>
              <w:ind w:firstLine="540"/>
              <w:jc w:val="both"/>
              <w:rPr>
                <w:rFonts w:ascii="Times New Roman" w:hAnsi="Times New Roman"/>
                <w:b/>
                <w:i/>
                <w:iCs/>
                <w:color w:val="auto"/>
                <w:sz w:val="22"/>
                <w:szCs w:val="22"/>
              </w:rPr>
            </w:pPr>
            <w:r w:rsidRPr="00865B33">
              <w:rPr>
                <w:rFonts w:ascii="Times New Roman" w:hAnsi="Times New Roman"/>
                <w:b/>
                <w:i/>
                <w:iCs/>
                <w:color w:val="auto"/>
                <w:sz w:val="22"/>
                <w:szCs w:val="22"/>
              </w:rPr>
              <w:t xml:space="preserve">Информация о принятии Эмитентом решения о реализации права отказа в одностороннем порядке от уплаты дохода по Облигациям раскрывается Эмитентом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 Эмитента, если составление протокола не требуется, и не позднее даты окончания купонного периода: </w:t>
            </w:r>
          </w:p>
          <w:p w:rsidR="005432D5" w:rsidRPr="00865B33" w:rsidRDefault="005432D5" w:rsidP="005432D5">
            <w:pPr>
              <w:pStyle w:val="Default"/>
              <w:ind w:firstLine="540"/>
              <w:jc w:val="both"/>
              <w:rPr>
                <w:rFonts w:ascii="Times New Roman" w:hAnsi="Times New Roman"/>
                <w:b/>
                <w:i/>
                <w:iCs/>
                <w:color w:val="auto"/>
                <w:sz w:val="22"/>
                <w:szCs w:val="22"/>
              </w:rPr>
            </w:pPr>
            <w:r w:rsidRPr="00865B33">
              <w:rPr>
                <w:rFonts w:ascii="Times New Roman" w:hAnsi="Times New Roman"/>
                <w:b/>
                <w:i/>
                <w:iCs/>
                <w:color w:val="auto"/>
                <w:sz w:val="22"/>
                <w:szCs w:val="22"/>
              </w:rPr>
              <w:t xml:space="preserve">– в Ленте новостей – не позднее 1 (Одного) дня; </w:t>
            </w:r>
          </w:p>
          <w:p w:rsidR="005432D5" w:rsidRPr="00865B33" w:rsidRDefault="005432D5" w:rsidP="005432D5">
            <w:pPr>
              <w:pStyle w:val="Default"/>
              <w:ind w:firstLine="540"/>
              <w:jc w:val="both"/>
              <w:rPr>
                <w:rFonts w:ascii="Times New Roman" w:hAnsi="Times New Roman"/>
                <w:b/>
                <w:i/>
                <w:iCs/>
                <w:color w:val="auto"/>
                <w:sz w:val="22"/>
                <w:szCs w:val="22"/>
              </w:rPr>
            </w:pPr>
            <w:r w:rsidRPr="00865B33">
              <w:rPr>
                <w:rFonts w:ascii="Times New Roman" w:hAnsi="Times New Roman"/>
                <w:b/>
                <w:i/>
                <w:iCs/>
                <w:color w:val="auto"/>
                <w:sz w:val="22"/>
                <w:szCs w:val="22"/>
              </w:rPr>
              <w:t xml:space="preserve">– на странице в Сети Интернет – не позднее 2 (Двух) дней. </w:t>
            </w:r>
          </w:p>
          <w:p w:rsidR="005432D5" w:rsidRPr="00865B33" w:rsidRDefault="005432D5" w:rsidP="005432D5">
            <w:pPr>
              <w:pStyle w:val="Default"/>
              <w:ind w:firstLine="540"/>
              <w:jc w:val="both"/>
              <w:rPr>
                <w:rFonts w:ascii="Times New Roman" w:hAnsi="Times New Roman"/>
                <w:b/>
                <w:i/>
                <w:iCs/>
                <w:color w:val="auto"/>
                <w:sz w:val="22"/>
                <w:szCs w:val="22"/>
              </w:rPr>
            </w:pPr>
            <w:r w:rsidRPr="00865B33">
              <w:rPr>
                <w:rFonts w:ascii="Times New Roman" w:hAnsi="Times New Roman"/>
                <w:b/>
                <w:i/>
                <w:iCs/>
                <w:color w:val="auto"/>
                <w:sz w:val="22"/>
                <w:szCs w:val="22"/>
              </w:rPr>
              <w:t xml:space="preserve">При этом публикация на странице в Сети Интернет осуществляется после публикации в Ленте новостей. </w:t>
            </w:r>
          </w:p>
          <w:p w:rsidR="005432D5" w:rsidRPr="00865B33" w:rsidRDefault="005432D5" w:rsidP="005432D5">
            <w:pPr>
              <w:ind w:firstLine="540"/>
              <w:jc w:val="both"/>
              <w:rPr>
                <w:rFonts w:ascii="Times New Roman" w:hAnsi="Times New Roman"/>
                <w:b/>
                <w:i/>
                <w:iCs/>
                <w:sz w:val="22"/>
                <w:szCs w:val="22"/>
              </w:rPr>
            </w:pPr>
            <w:r w:rsidRPr="00865B33">
              <w:rPr>
                <w:rFonts w:ascii="Times New Roman" w:hAnsi="Times New Roman"/>
                <w:b/>
                <w:i/>
                <w:iCs/>
                <w:sz w:val="22"/>
                <w:szCs w:val="22"/>
              </w:rPr>
              <w:t xml:space="preserve">Указанное сообщение о существенном факте должно содержать индивидуальный государственный регистрационный номер Облигаций, владельцам которых кредитной организацией-эмитентом не будет выплачен доход, размер такого дохода (в процентах и в абсолютной величине) по каждой Облигации, период, за который указанный доход начислен, дату принятия решения об отказе от уплаты дохода по Облигациям, указание на уполномоченный орган кредитной организации-эмитента, принявший решение об отказе от уплаты дохода по Облигациям, иную </w:t>
            </w:r>
            <w:r w:rsidRPr="00865B33">
              <w:rPr>
                <w:rFonts w:ascii="Times New Roman" w:hAnsi="Times New Roman"/>
                <w:b/>
                <w:i/>
                <w:iCs/>
                <w:sz w:val="22"/>
                <w:szCs w:val="22"/>
              </w:rPr>
              <w:lastRenderedPageBreak/>
              <w:t>информацию по усмотрению кредитной организации-эмитента, в том числе указание на то, что реализация Эмитентом указанного права не влечет за собой возникновение финансовых санкций за неисполнение обязательств по уплате процентов по субординированному облигационному займу.</w:t>
            </w:r>
          </w:p>
          <w:p w:rsidR="005432D5" w:rsidRPr="00865B33" w:rsidRDefault="005432D5" w:rsidP="005432D5">
            <w:pPr>
              <w:pStyle w:val="Default"/>
              <w:ind w:firstLine="540"/>
              <w:jc w:val="both"/>
              <w:rPr>
                <w:rFonts w:ascii="Times New Roman" w:hAnsi="Times New Roman"/>
                <w:sz w:val="23"/>
                <w:szCs w:val="23"/>
              </w:rPr>
            </w:pPr>
          </w:p>
          <w:p w:rsidR="005432D5" w:rsidRPr="00865B33" w:rsidRDefault="005432D5" w:rsidP="005432D5">
            <w:pPr>
              <w:pStyle w:val="Default"/>
              <w:ind w:firstLine="540"/>
              <w:jc w:val="both"/>
              <w:rPr>
                <w:rFonts w:ascii="Times New Roman" w:hAnsi="Times New Roman"/>
                <w:iCs/>
                <w:color w:val="auto"/>
                <w:sz w:val="22"/>
                <w:szCs w:val="22"/>
              </w:rPr>
            </w:pPr>
            <w:r w:rsidRPr="00865B33">
              <w:rPr>
                <w:rFonts w:ascii="Times New Roman" w:hAnsi="Times New Roman"/>
                <w:iCs/>
                <w:color w:val="auto"/>
                <w:sz w:val="22"/>
                <w:szCs w:val="22"/>
              </w:rPr>
              <w:t xml:space="preserve">Порядок уведомления кредитной организацией-эмитентом депозитария, осуществляющего обязательное централизованное хранение сертификата облигаций, организаторов торговли об отказе кредитной организации-эмитента от уплаты дохода по Облигациям данного выпуска: </w:t>
            </w:r>
          </w:p>
          <w:p w:rsidR="005432D5" w:rsidRPr="00865B33" w:rsidRDefault="005432D5" w:rsidP="005432D5">
            <w:pPr>
              <w:pStyle w:val="Default"/>
              <w:ind w:firstLine="540"/>
              <w:jc w:val="both"/>
              <w:rPr>
                <w:rFonts w:ascii="Times New Roman" w:hAnsi="Times New Roman"/>
                <w:b/>
                <w:i/>
                <w:iCs/>
                <w:color w:val="auto"/>
                <w:sz w:val="22"/>
                <w:szCs w:val="22"/>
              </w:rPr>
            </w:pPr>
            <w:r w:rsidRPr="00865B33">
              <w:rPr>
                <w:rFonts w:ascii="Times New Roman" w:hAnsi="Times New Roman"/>
                <w:b/>
                <w:i/>
                <w:iCs/>
                <w:color w:val="auto"/>
                <w:sz w:val="22"/>
                <w:szCs w:val="22"/>
              </w:rPr>
              <w:t>Эмитент уведомляет НРД и Биржу о принятом решении об отказе Эмитента от уплаты дохода по Облигациям не позднее следующего рабочего дня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 Эмитента, если составление протокола не требуется.</w:t>
            </w:r>
          </w:p>
          <w:p w:rsidR="005432D5" w:rsidRPr="00865B33" w:rsidRDefault="005432D5" w:rsidP="005432D5">
            <w:pPr>
              <w:ind w:firstLine="540"/>
              <w:jc w:val="both"/>
              <w:rPr>
                <w:rFonts w:ascii="Times New Roman" w:hAnsi="Times New Roman"/>
                <w:b/>
                <w:i/>
                <w:iCs/>
                <w:sz w:val="22"/>
                <w:szCs w:val="22"/>
              </w:rPr>
            </w:pPr>
          </w:p>
        </w:tc>
        <w:tc>
          <w:tcPr>
            <w:tcW w:w="4956" w:type="dxa"/>
            <w:shd w:val="clear" w:color="auto" w:fill="FFFFFF" w:themeFill="background1"/>
          </w:tcPr>
          <w:p w:rsidR="005432D5" w:rsidRPr="00865B33" w:rsidRDefault="005432D5" w:rsidP="005432D5">
            <w:pPr>
              <w:pStyle w:val="Default"/>
              <w:ind w:firstLine="540"/>
              <w:jc w:val="both"/>
              <w:rPr>
                <w:rFonts w:ascii="Times New Roman" w:hAnsi="Times New Roman"/>
                <w:iCs/>
                <w:color w:val="auto"/>
                <w:sz w:val="22"/>
                <w:szCs w:val="22"/>
              </w:rPr>
            </w:pPr>
            <w:r w:rsidRPr="00865B33">
              <w:rPr>
                <w:rFonts w:ascii="Times New Roman" w:hAnsi="Times New Roman"/>
                <w:iCs/>
                <w:color w:val="auto"/>
                <w:sz w:val="22"/>
                <w:szCs w:val="22"/>
              </w:rPr>
              <w:lastRenderedPageBreak/>
              <w:t xml:space="preserve">Указывается информация о наличии (отсутствии) у кредитной организации-эмитента права отказаться в одностороннем порядке от уплаты процента (купона) по облигациям: </w:t>
            </w:r>
          </w:p>
          <w:p w:rsidR="005432D5" w:rsidRPr="00865B33" w:rsidRDefault="005432D5" w:rsidP="005432D5">
            <w:pPr>
              <w:pStyle w:val="Default"/>
              <w:ind w:firstLine="540"/>
              <w:jc w:val="both"/>
              <w:rPr>
                <w:rFonts w:ascii="Times New Roman" w:hAnsi="Times New Roman"/>
                <w:iCs/>
                <w:color w:val="auto"/>
                <w:sz w:val="22"/>
                <w:szCs w:val="22"/>
              </w:rPr>
            </w:pPr>
            <w:r w:rsidRPr="00865B33">
              <w:rPr>
                <w:rFonts w:ascii="Times New Roman" w:hAnsi="Times New Roman"/>
                <w:b/>
                <w:i/>
                <w:iCs/>
                <w:color w:val="auto"/>
                <w:sz w:val="22"/>
                <w:szCs w:val="22"/>
              </w:rPr>
              <w:t>У кредитной организации-эмитента отсутствует право отказаться в одностороннем порядке от уплаты процента (купона) по Облигациям.</w:t>
            </w:r>
          </w:p>
        </w:tc>
      </w:tr>
      <w:tr w:rsidR="005432D5" w:rsidRPr="00D92EAD" w:rsidTr="007059E6">
        <w:tc>
          <w:tcPr>
            <w:tcW w:w="9912" w:type="dxa"/>
            <w:gridSpan w:val="2"/>
          </w:tcPr>
          <w:p w:rsidR="005432D5" w:rsidRPr="00486F1C" w:rsidRDefault="005432D5" w:rsidP="005432D5">
            <w:pPr>
              <w:pStyle w:val="af5"/>
              <w:numPr>
                <w:ilvl w:val="0"/>
                <w:numId w:val="1"/>
              </w:numPr>
              <w:adjustRightInd w:val="0"/>
              <w:outlineLvl w:val="5"/>
              <w:rPr>
                <w:rFonts w:ascii="Times New Roman" w:hAnsi="Times New Roman"/>
                <w:b/>
                <w:sz w:val="22"/>
                <w:szCs w:val="22"/>
              </w:rPr>
            </w:pPr>
            <w:r w:rsidRPr="00486F1C">
              <w:rPr>
                <w:rFonts w:ascii="Times New Roman" w:hAnsi="Times New Roman"/>
                <w:b/>
                <w:sz w:val="22"/>
                <w:szCs w:val="22"/>
              </w:rPr>
              <w:lastRenderedPageBreak/>
              <w:t>Изменения вносятся в 3-й абзац пункта 10.4.1 Решения о выпуске ценных бумаг</w:t>
            </w:r>
          </w:p>
        </w:tc>
      </w:tr>
      <w:tr w:rsidR="005432D5" w:rsidRPr="00D92EAD" w:rsidTr="00186A43">
        <w:tc>
          <w:tcPr>
            <w:tcW w:w="4956" w:type="dxa"/>
          </w:tcPr>
          <w:p w:rsidR="005432D5" w:rsidRPr="00486F1C" w:rsidRDefault="005432D5" w:rsidP="005432D5">
            <w:pPr>
              <w:adjustRightInd w:val="0"/>
              <w:jc w:val="center"/>
              <w:outlineLvl w:val="5"/>
              <w:rPr>
                <w:rFonts w:ascii="Times New Roman" w:hAnsi="Times New Roman"/>
                <w:b/>
                <w:sz w:val="22"/>
                <w:szCs w:val="22"/>
              </w:rPr>
            </w:pPr>
            <w:r w:rsidRPr="00486F1C">
              <w:rPr>
                <w:rFonts w:ascii="Times New Roman" w:hAnsi="Times New Roman"/>
                <w:b/>
                <w:sz w:val="22"/>
                <w:szCs w:val="22"/>
              </w:rPr>
              <w:t>Текст изменяемой редакции</w:t>
            </w:r>
          </w:p>
        </w:tc>
        <w:tc>
          <w:tcPr>
            <w:tcW w:w="4956" w:type="dxa"/>
          </w:tcPr>
          <w:p w:rsidR="005432D5" w:rsidRPr="00486F1C" w:rsidRDefault="005432D5" w:rsidP="005432D5">
            <w:pPr>
              <w:adjustRightInd w:val="0"/>
              <w:jc w:val="center"/>
              <w:outlineLvl w:val="5"/>
              <w:rPr>
                <w:rFonts w:ascii="Times New Roman" w:hAnsi="Times New Roman"/>
                <w:b/>
                <w:sz w:val="22"/>
                <w:szCs w:val="22"/>
              </w:rPr>
            </w:pPr>
            <w:r w:rsidRPr="00486F1C">
              <w:rPr>
                <w:rFonts w:ascii="Times New Roman" w:hAnsi="Times New Roman"/>
                <w:b/>
                <w:sz w:val="22"/>
                <w:szCs w:val="22"/>
              </w:rPr>
              <w:t>Текст новой редакции</w:t>
            </w:r>
          </w:p>
        </w:tc>
      </w:tr>
      <w:tr w:rsidR="005432D5" w:rsidRPr="00D92EAD" w:rsidTr="00186A43">
        <w:tc>
          <w:tcPr>
            <w:tcW w:w="4956" w:type="dxa"/>
          </w:tcPr>
          <w:p w:rsidR="005432D5" w:rsidRPr="00486F1C" w:rsidRDefault="005432D5" w:rsidP="005432D5">
            <w:pPr>
              <w:pStyle w:val="Default"/>
              <w:ind w:firstLine="540"/>
              <w:jc w:val="both"/>
              <w:rPr>
                <w:rFonts w:ascii="Times New Roman" w:hAnsi="Times New Roman"/>
                <w:b/>
                <w:i/>
                <w:iCs/>
                <w:sz w:val="22"/>
                <w:szCs w:val="22"/>
              </w:rPr>
            </w:pPr>
            <w:r w:rsidRPr="00486F1C">
              <w:rPr>
                <w:rFonts w:ascii="Times New Roman" w:hAnsi="Times New Roman"/>
                <w:b/>
                <w:i/>
                <w:iCs/>
                <w:sz w:val="22"/>
                <w:szCs w:val="22"/>
              </w:rPr>
              <w:t xml:space="preserve">- значение норматива достаточности базового капитала кредитной организации-эмитента, рассчитанное кредитной организацией-эмитентом в соответствии с Инструкцией Банка России от 28.06.2017 № 180-И «Об обязательных нормативах банков» (далее – «Инструкция Банка России № 180-И»), достигло уровня ниже 2 процентов в совокупности за шесть и более операционных дней в течение любых 30 последовательных операционных дней (далее – «Событие прекращения обязательств А»); </w:t>
            </w:r>
          </w:p>
          <w:p w:rsidR="005432D5" w:rsidRPr="00486F1C" w:rsidRDefault="005432D5" w:rsidP="005432D5">
            <w:pPr>
              <w:adjustRightInd w:val="0"/>
              <w:ind w:firstLine="540"/>
              <w:jc w:val="both"/>
              <w:outlineLvl w:val="5"/>
              <w:rPr>
                <w:rFonts w:ascii="Times New Roman" w:hAnsi="Times New Roman"/>
                <w:b/>
                <w:i/>
                <w:sz w:val="22"/>
                <w:szCs w:val="22"/>
              </w:rPr>
            </w:pPr>
          </w:p>
        </w:tc>
        <w:tc>
          <w:tcPr>
            <w:tcW w:w="4956" w:type="dxa"/>
          </w:tcPr>
          <w:p w:rsidR="005432D5" w:rsidRPr="00486F1C" w:rsidRDefault="005432D5" w:rsidP="005432D5">
            <w:pPr>
              <w:adjustRightInd w:val="0"/>
              <w:ind w:firstLine="540"/>
              <w:jc w:val="both"/>
              <w:outlineLvl w:val="5"/>
              <w:rPr>
                <w:rFonts w:ascii="Times New Roman" w:hAnsi="Times New Roman"/>
                <w:b/>
                <w:i/>
                <w:iCs/>
                <w:color w:val="000000"/>
                <w:sz w:val="22"/>
                <w:szCs w:val="22"/>
              </w:rPr>
            </w:pPr>
            <w:r w:rsidRPr="00486F1C">
              <w:rPr>
                <w:rFonts w:ascii="Times New Roman" w:hAnsi="Times New Roman"/>
                <w:b/>
                <w:i/>
                <w:iCs/>
                <w:color w:val="000000"/>
                <w:sz w:val="22"/>
                <w:szCs w:val="22"/>
              </w:rPr>
              <w:t>- значение норматива достаточности базового капитала кредитной организации-эмитента, рассчитанное кредитной организацией-эмитентом в соответствии с Инструкцией Банка России от 29.11.2019 № 199-И «Об обязательных нормативах и надбавках к нормативам достаточности капитала банков с универсальной лицензией» (далее – «Инструкция Банка России № 199-И»), достигло уровня ниже 2 процентов в совокупности за шесть и более операционных дней в течение любых 30 последовательных операционных дней (далее – «Событие прекращения обязательств А»);</w:t>
            </w:r>
          </w:p>
          <w:p w:rsidR="005432D5" w:rsidRPr="00486F1C" w:rsidRDefault="005432D5" w:rsidP="005432D5">
            <w:pPr>
              <w:adjustRightInd w:val="0"/>
              <w:ind w:firstLine="540"/>
              <w:jc w:val="both"/>
              <w:outlineLvl w:val="5"/>
              <w:rPr>
                <w:rFonts w:ascii="Times New Roman" w:hAnsi="Times New Roman"/>
                <w:b/>
                <w:i/>
                <w:sz w:val="22"/>
                <w:szCs w:val="22"/>
              </w:rPr>
            </w:pPr>
          </w:p>
        </w:tc>
      </w:tr>
      <w:tr w:rsidR="005432D5" w:rsidRPr="001355E9" w:rsidTr="00186A43">
        <w:tc>
          <w:tcPr>
            <w:tcW w:w="9912" w:type="dxa"/>
            <w:gridSpan w:val="2"/>
          </w:tcPr>
          <w:p w:rsidR="005432D5" w:rsidRPr="00486F1C" w:rsidRDefault="005432D5" w:rsidP="005432D5">
            <w:pPr>
              <w:pStyle w:val="af5"/>
              <w:numPr>
                <w:ilvl w:val="0"/>
                <w:numId w:val="1"/>
              </w:numPr>
              <w:adjustRightInd w:val="0"/>
              <w:outlineLvl w:val="5"/>
              <w:rPr>
                <w:rFonts w:ascii="Times New Roman" w:hAnsi="Times New Roman"/>
                <w:sz w:val="22"/>
                <w:szCs w:val="22"/>
              </w:rPr>
            </w:pPr>
            <w:r w:rsidRPr="00486F1C">
              <w:rPr>
                <w:rFonts w:ascii="Times New Roman" w:hAnsi="Times New Roman"/>
                <w:b/>
                <w:sz w:val="22"/>
                <w:szCs w:val="22"/>
              </w:rPr>
              <w:t>Изменения вносятся в 12-й абзац пункта 10.4.1 Решения о выпуске ценных бумаг</w:t>
            </w:r>
          </w:p>
        </w:tc>
      </w:tr>
      <w:tr w:rsidR="005432D5" w:rsidRPr="00D92EAD" w:rsidTr="00186A43">
        <w:tc>
          <w:tcPr>
            <w:tcW w:w="4956" w:type="dxa"/>
          </w:tcPr>
          <w:p w:rsidR="005432D5" w:rsidRPr="00486F1C" w:rsidRDefault="005432D5" w:rsidP="005432D5">
            <w:pPr>
              <w:adjustRightInd w:val="0"/>
              <w:jc w:val="center"/>
              <w:outlineLvl w:val="5"/>
              <w:rPr>
                <w:rFonts w:ascii="Times New Roman" w:hAnsi="Times New Roman"/>
                <w:sz w:val="22"/>
                <w:szCs w:val="22"/>
              </w:rPr>
            </w:pPr>
            <w:r w:rsidRPr="00486F1C">
              <w:rPr>
                <w:rFonts w:ascii="Times New Roman" w:hAnsi="Times New Roman"/>
                <w:b/>
                <w:sz w:val="22"/>
                <w:szCs w:val="22"/>
              </w:rPr>
              <w:t>Текст изменяемой редакции</w:t>
            </w:r>
          </w:p>
        </w:tc>
        <w:tc>
          <w:tcPr>
            <w:tcW w:w="4956" w:type="dxa"/>
          </w:tcPr>
          <w:p w:rsidR="005432D5" w:rsidRPr="00486F1C" w:rsidRDefault="005432D5" w:rsidP="005432D5">
            <w:pPr>
              <w:adjustRightInd w:val="0"/>
              <w:jc w:val="center"/>
              <w:outlineLvl w:val="5"/>
              <w:rPr>
                <w:rFonts w:ascii="Times New Roman" w:hAnsi="Times New Roman"/>
                <w:sz w:val="22"/>
                <w:szCs w:val="22"/>
              </w:rPr>
            </w:pPr>
            <w:r w:rsidRPr="00486F1C">
              <w:rPr>
                <w:rFonts w:ascii="Times New Roman" w:hAnsi="Times New Roman"/>
                <w:b/>
                <w:sz w:val="22"/>
                <w:szCs w:val="22"/>
              </w:rPr>
              <w:t>Текст новой редакции</w:t>
            </w:r>
          </w:p>
        </w:tc>
      </w:tr>
      <w:tr w:rsidR="005432D5" w:rsidRPr="00D92EAD" w:rsidTr="00186A43">
        <w:tc>
          <w:tcPr>
            <w:tcW w:w="4956" w:type="dxa"/>
          </w:tcPr>
          <w:p w:rsidR="005432D5" w:rsidRPr="00B50F89" w:rsidRDefault="005432D5" w:rsidP="005432D5">
            <w:pPr>
              <w:adjustRightInd w:val="0"/>
              <w:ind w:firstLine="540"/>
              <w:jc w:val="both"/>
              <w:outlineLvl w:val="5"/>
              <w:rPr>
                <w:rFonts w:ascii="Times New Roman" w:hAnsi="Times New Roman"/>
                <w:b/>
                <w:i/>
                <w:iCs/>
                <w:color w:val="000000"/>
                <w:sz w:val="22"/>
                <w:szCs w:val="22"/>
              </w:rPr>
            </w:pPr>
            <w:r w:rsidRPr="00B50F89">
              <w:rPr>
                <w:rFonts w:ascii="Times New Roman" w:hAnsi="Times New Roman"/>
                <w:b/>
                <w:i/>
                <w:iCs/>
                <w:color w:val="000000"/>
                <w:sz w:val="22"/>
                <w:szCs w:val="22"/>
              </w:rPr>
              <w:t xml:space="preserve">При наличии у кредитной организации-эмитента нескольких субординированных кредитов (депозитов, займов), нескольких выпусков субординированных облигационных займов обязательства по Облигациям настоящего выпуска прекращаются в очередности, установленной Эмитентом, и в сумме (количестве выпусков), позволяющей (позволяющем) восстановить значение норматива достаточности базового капитала до уровня не ниже 2 процентов, а в случае </w:t>
            </w:r>
            <w:r w:rsidRPr="00B50F89">
              <w:rPr>
                <w:rFonts w:ascii="Times New Roman" w:hAnsi="Times New Roman"/>
                <w:b/>
                <w:i/>
                <w:iCs/>
                <w:color w:val="000000"/>
                <w:sz w:val="22"/>
                <w:szCs w:val="22"/>
              </w:rPr>
              <w:lastRenderedPageBreak/>
              <w:t xml:space="preserve">реализации плана участия Банка России или Агентства в осуществлении мер по предупреждению банкротства Банка – до восстановления значений нормативов достаточности собственных средств (капитала), установленных в соответствии с Инструкцией Банка России № 180-И. </w:t>
            </w:r>
          </w:p>
          <w:p w:rsidR="005432D5" w:rsidRPr="00D92EAD" w:rsidRDefault="005432D5" w:rsidP="005432D5">
            <w:pPr>
              <w:adjustRightInd w:val="0"/>
              <w:ind w:firstLine="540"/>
              <w:jc w:val="both"/>
              <w:outlineLvl w:val="5"/>
              <w:rPr>
                <w:rFonts w:ascii="Times New Roman" w:hAnsi="Times New Roman"/>
                <w:b/>
                <w:i/>
                <w:iCs/>
                <w:color w:val="000000"/>
                <w:sz w:val="22"/>
                <w:szCs w:val="22"/>
              </w:rPr>
            </w:pPr>
          </w:p>
        </w:tc>
        <w:tc>
          <w:tcPr>
            <w:tcW w:w="4956" w:type="dxa"/>
          </w:tcPr>
          <w:p w:rsidR="005432D5" w:rsidRPr="00B50F89" w:rsidRDefault="005432D5" w:rsidP="005432D5">
            <w:pPr>
              <w:adjustRightInd w:val="0"/>
              <w:ind w:firstLine="540"/>
              <w:jc w:val="both"/>
              <w:outlineLvl w:val="5"/>
              <w:rPr>
                <w:rFonts w:ascii="Times New Roman" w:hAnsi="Times New Roman"/>
                <w:b/>
                <w:i/>
                <w:iCs/>
                <w:color w:val="000000"/>
                <w:sz w:val="22"/>
                <w:szCs w:val="22"/>
              </w:rPr>
            </w:pPr>
            <w:r w:rsidRPr="00B50F89">
              <w:rPr>
                <w:rFonts w:ascii="Times New Roman" w:hAnsi="Times New Roman"/>
                <w:b/>
                <w:i/>
                <w:iCs/>
                <w:color w:val="000000"/>
                <w:sz w:val="22"/>
                <w:szCs w:val="22"/>
              </w:rPr>
              <w:lastRenderedPageBreak/>
              <w:t xml:space="preserve">При наличии у кредитной организации-эмитента нескольких субординированных кредитов (депозитов, займов), нескольких выпусков субординированных облигационных займов обязательства по Облигациям настоящего выпуска прекращаются в очередности, установленной Эмитентом, и в сумме (количестве выпусков), позволяющей (позволяющем) восстановить значение норматива достаточности базового капитала до уровня не ниже 2 процентов, а в случае </w:t>
            </w:r>
            <w:r w:rsidRPr="00B50F89">
              <w:rPr>
                <w:rFonts w:ascii="Times New Roman" w:hAnsi="Times New Roman"/>
                <w:b/>
                <w:i/>
                <w:iCs/>
                <w:color w:val="000000"/>
                <w:sz w:val="22"/>
                <w:szCs w:val="22"/>
              </w:rPr>
              <w:lastRenderedPageBreak/>
              <w:t xml:space="preserve">реализации плана участия Банка России или Агентства в осуществлении мер по предупреждению банкротства Банка – до восстановления значений нормативов достаточности собственных средств (капитала), установленных в соответствии с Инструкцией Банка России № 199-И. </w:t>
            </w:r>
          </w:p>
          <w:p w:rsidR="005432D5" w:rsidRPr="00D92EAD" w:rsidRDefault="005432D5" w:rsidP="005432D5">
            <w:pPr>
              <w:adjustRightInd w:val="0"/>
              <w:ind w:firstLine="540"/>
              <w:jc w:val="both"/>
              <w:outlineLvl w:val="5"/>
              <w:rPr>
                <w:rFonts w:ascii="Times New Roman" w:hAnsi="Times New Roman"/>
                <w:b/>
                <w:i/>
                <w:iCs/>
                <w:color w:val="000000"/>
                <w:sz w:val="22"/>
                <w:szCs w:val="22"/>
              </w:rPr>
            </w:pPr>
          </w:p>
        </w:tc>
      </w:tr>
      <w:tr w:rsidR="005432D5" w:rsidRPr="001355E9" w:rsidTr="00186A43">
        <w:tc>
          <w:tcPr>
            <w:tcW w:w="9912" w:type="dxa"/>
            <w:gridSpan w:val="2"/>
          </w:tcPr>
          <w:p w:rsidR="005432D5" w:rsidRPr="00486F1C" w:rsidRDefault="005432D5" w:rsidP="005432D5">
            <w:pPr>
              <w:pStyle w:val="af5"/>
              <w:numPr>
                <w:ilvl w:val="0"/>
                <w:numId w:val="1"/>
              </w:numPr>
              <w:adjustRightInd w:val="0"/>
              <w:outlineLvl w:val="5"/>
              <w:rPr>
                <w:rFonts w:ascii="Times New Roman" w:hAnsi="Times New Roman"/>
                <w:sz w:val="22"/>
                <w:szCs w:val="22"/>
              </w:rPr>
            </w:pPr>
            <w:r w:rsidRPr="00486F1C">
              <w:rPr>
                <w:rFonts w:ascii="Times New Roman" w:hAnsi="Times New Roman"/>
                <w:b/>
                <w:sz w:val="22"/>
                <w:szCs w:val="22"/>
              </w:rPr>
              <w:lastRenderedPageBreak/>
              <w:t>Изменения вносятся в 21-й абзац пункта 10.4.1 Решения о выпуске ценных бумаг</w:t>
            </w:r>
          </w:p>
        </w:tc>
      </w:tr>
      <w:tr w:rsidR="005432D5" w:rsidRPr="00D92EAD" w:rsidTr="00186A43">
        <w:tc>
          <w:tcPr>
            <w:tcW w:w="4956" w:type="dxa"/>
          </w:tcPr>
          <w:p w:rsidR="005432D5" w:rsidRPr="00486F1C" w:rsidRDefault="005432D5" w:rsidP="005432D5">
            <w:pPr>
              <w:adjustRightInd w:val="0"/>
              <w:jc w:val="center"/>
              <w:outlineLvl w:val="5"/>
              <w:rPr>
                <w:rFonts w:ascii="Times New Roman" w:hAnsi="Times New Roman"/>
                <w:sz w:val="22"/>
                <w:szCs w:val="22"/>
              </w:rPr>
            </w:pPr>
            <w:r w:rsidRPr="00486F1C">
              <w:rPr>
                <w:rFonts w:ascii="Times New Roman" w:hAnsi="Times New Roman"/>
                <w:b/>
                <w:sz w:val="22"/>
                <w:szCs w:val="22"/>
              </w:rPr>
              <w:t>Текст изменяемой редакции</w:t>
            </w:r>
          </w:p>
        </w:tc>
        <w:tc>
          <w:tcPr>
            <w:tcW w:w="4956" w:type="dxa"/>
          </w:tcPr>
          <w:p w:rsidR="005432D5" w:rsidRPr="00486F1C" w:rsidRDefault="005432D5" w:rsidP="005432D5">
            <w:pPr>
              <w:adjustRightInd w:val="0"/>
              <w:jc w:val="center"/>
              <w:outlineLvl w:val="5"/>
              <w:rPr>
                <w:rFonts w:ascii="Times New Roman" w:hAnsi="Times New Roman"/>
                <w:sz w:val="22"/>
                <w:szCs w:val="22"/>
              </w:rPr>
            </w:pPr>
            <w:r w:rsidRPr="00486F1C">
              <w:rPr>
                <w:rFonts w:ascii="Times New Roman" w:hAnsi="Times New Roman"/>
                <w:b/>
                <w:sz w:val="22"/>
                <w:szCs w:val="22"/>
              </w:rPr>
              <w:t>Текст новой редакции</w:t>
            </w:r>
          </w:p>
        </w:tc>
      </w:tr>
      <w:tr w:rsidR="005432D5" w:rsidRPr="00D92EAD" w:rsidTr="00186A43">
        <w:tc>
          <w:tcPr>
            <w:tcW w:w="4956" w:type="dxa"/>
          </w:tcPr>
          <w:p w:rsidR="005432D5" w:rsidRPr="00486F1C" w:rsidRDefault="005432D5" w:rsidP="005432D5">
            <w:pPr>
              <w:adjustRightInd w:val="0"/>
              <w:ind w:firstLine="540"/>
              <w:jc w:val="both"/>
              <w:outlineLvl w:val="5"/>
              <w:rPr>
                <w:rFonts w:ascii="Times New Roman" w:hAnsi="Times New Roman"/>
                <w:b/>
                <w:i/>
                <w:iCs/>
                <w:color w:val="000000"/>
                <w:sz w:val="22"/>
                <w:szCs w:val="22"/>
              </w:rPr>
            </w:pPr>
            <w:r w:rsidRPr="00486F1C">
              <w:rPr>
                <w:rFonts w:ascii="Times New Roman" w:hAnsi="Times New Roman"/>
                <w:b/>
                <w:i/>
                <w:iCs/>
                <w:color w:val="000000"/>
                <w:sz w:val="22"/>
                <w:szCs w:val="22"/>
              </w:rPr>
              <w:t>Указанные последствия действуют до восстановления значения норматива достаточности базового капитала кредитной организации-эмитента до уровня не ниже 2 процентов, а в случае реализации плана участия Банка России или Агентства в осуществлении мер по предупреждению банкротства Банка – до восстановления значений нормативов достаточности собственных средств (капитала), установленных в соответствии с Инструкцией Банка России №180-И.</w:t>
            </w:r>
          </w:p>
          <w:p w:rsidR="005432D5" w:rsidRPr="00486F1C" w:rsidRDefault="005432D5" w:rsidP="005432D5">
            <w:pPr>
              <w:adjustRightInd w:val="0"/>
              <w:ind w:firstLine="540"/>
              <w:jc w:val="both"/>
              <w:outlineLvl w:val="5"/>
              <w:rPr>
                <w:rFonts w:ascii="Times New Roman" w:hAnsi="Times New Roman"/>
                <w:b/>
                <w:i/>
                <w:iCs/>
                <w:color w:val="000000"/>
                <w:sz w:val="22"/>
                <w:szCs w:val="22"/>
              </w:rPr>
            </w:pPr>
          </w:p>
        </w:tc>
        <w:tc>
          <w:tcPr>
            <w:tcW w:w="4956" w:type="dxa"/>
          </w:tcPr>
          <w:p w:rsidR="005432D5" w:rsidRPr="00486F1C" w:rsidRDefault="005432D5" w:rsidP="005432D5">
            <w:pPr>
              <w:adjustRightInd w:val="0"/>
              <w:ind w:firstLine="540"/>
              <w:jc w:val="both"/>
              <w:outlineLvl w:val="5"/>
              <w:rPr>
                <w:rFonts w:ascii="Times New Roman" w:hAnsi="Times New Roman"/>
                <w:b/>
                <w:i/>
                <w:iCs/>
                <w:color w:val="000000"/>
                <w:sz w:val="22"/>
                <w:szCs w:val="22"/>
              </w:rPr>
            </w:pPr>
            <w:r w:rsidRPr="00486F1C">
              <w:rPr>
                <w:rFonts w:ascii="Times New Roman" w:hAnsi="Times New Roman"/>
                <w:b/>
                <w:i/>
                <w:iCs/>
                <w:color w:val="000000"/>
                <w:sz w:val="22"/>
                <w:szCs w:val="22"/>
              </w:rPr>
              <w:t>Указанные последствия действуют до восстановления значения норматива достаточности базового капитала кредитной организации-эмитента до уровня не ниже 2 процентов, а в случае реализации плана участия Банка России или Агентства в осуществлении мер по предупреждению банкротства Банка – до восстановления значений нормативов достаточности собственных средств (капитала), установленных в соответствии с Инструкцией Банка России №199-И.</w:t>
            </w:r>
          </w:p>
        </w:tc>
      </w:tr>
      <w:tr w:rsidR="005432D5" w:rsidRPr="001355E9" w:rsidTr="00186A43">
        <w:tc>
          <w:tcPr>
            <w:tcW w:w="9912" w:type="dxa"/>
            <w:gridSpan w:val="2"/>
          </w:tcPr>
          <w:p w:rsidR="005432D5" w:rsidRPr="00486F1C" w:rsidRDefault="005432D5" w:rsidP="005432D5">
            <w:pPr>
              <w:pStyle w:val="af5"/>
              <w:numPr>
                <w:ilvl w:val="0"/>
                <w:numId w:val="1"/>
              </w:numPr>
              <w:adjustRightInd w:val="0"/>
              <w:outlineLvl w:val="5"/>
              <w:rPr>
                <w:rFonts w:ascii="Times New Roman" w:hAnsi="Times New Roman"/>
                <w:sz w:val="22"/>
                <w:szCs w:val="22"/>
              </w:rPr>
            </w:pPr>
            <w:r w:rsidRPr="00486F1C">
              <w:rPr>
                <w:rFonts w:ascii="Times New Roman" w:hAnsi="Times New Roman"/>
                <w:b/>
                <w:sz w:val="22"/>
                <w:szCs w:val="22"/>
              </w:rPr>
              <w:t>Изменения вносятся в 47-й абзац пункта 10.4.1 Решения о выпуске ценных бумаг</w:t>
            </w:r>
          </w:p>
        </w:tc>
      </w:tr>
      <w:tr w:rsidR="005432D5" w:rsidRPr="00D92EAD" w:rsidTr="00186A43">
        <w:tc>
          <w:tcPr>
            <w:tcW w:w="4956" w:type="dxa"/>
          </w:tcPr>
          <w:p w:rsidR="005432D5" w:rsidRPr="00486F1C" w:rsidRDefault="005432D5" w:rsidP="005432D5">
            <w:pPr>
              <w:adjustRightInd w:val="0"/>
              <w:jc w:val="center"/>
              <w:outlineLvl w:val="5"/>
              <w:rPr>
                <w:rFonts w:ascii="Times New Roman" w:hAnsi="Times New Roman"/>
                <w:sz w:val="22"/>
                <w:szCs w:val="22"/>
              </w:rPr>
            </w:pPr>
            <w:r w:rsidRPr="00486F1C">
              <w:rPr>
                <w:rFonts w:ascii="Times New Roman" w:hAnsi="Times New Roman"/>
                <w:b/>
                <w:sz w:val="22"/>
                <w:szCs w:val="22"/>
              </w:rPr>
              <w:t>Текст изменяемой редакции</w:t>
            </w:r>
          </w:p>
        </w:tc>
        <w:tc>
          <w:tcPr>
            <w:tcW w:w="4956" w:type="dxa"/>
          </w:tcPr>
          <w:p w:rsidR="005432D5" w:rsidRPr="00486F1C" w:rsidRDefault="005432D5" w:rsidP="005432D5">
            <w:pPr>
              <w:adjustRightInd w:val="0"/>
              <w:jc w:val="center"/>
              <w:outlineLvl w:val="5"/>
              <w:rPr>
                <w:rFonts w:ascii="Times New Roman" w:hAnsi="Times New Roman"/>
                <w:sz w:val="22"/>
                <w:szCs w:val="22"/>
              </w:rPr>
            </w:pPr>
            <w:r w:rsidRPr="00486F1C">
              <w:rPr>
                <w:rFonts w:ascii="Times New Roman" w:hAnsi="Times New Roman"/>
                <w:b/>
                <w:sz w:val="22"/>
                <w:szCs w:val="22"/>
              </w:rPr>
              <w:t>Текст новой редакции</w:t>
            </w:r>
          </w:p>
        </w:tc>
      </w:tr>
      <w:tr w:rsidR="005432D5" w:rsidRPr="00D92EAD" w:rsidTr="00186A43">
        <w:tc>
          <w:tcPr>
            <w:tcW w:w="4956" w:type="dxa"/>
          </w:tcPr>
          <w:p w:rsidR="005432D5" w:rsidRPr="00486F1C" w:rsidRDefault="005432D5" w:rsidP="005432D5">
            <w:pPr>
              <w:adjustRightInd w:val="0"/>
              <w:ind w:firstLine="540"/>
              <w:jc w:val="both"/>
              <w:outlineLvl w:val="5"/>
              <w:rPr>
                <w:rFonts w:ascii="Times New Roman" w:hAnsi="Times New Roman"/>
                <w:b/>
                <w:i/>
                <w:iCs/>
                <w:color w:val="000000"/>
                <w:sz w:val="22"/>
                <w:szCs w:val="22"/>
              </w:rPr>
            </w:pPr>
            <w:r w:rsidRPr="00486F1C">
              <w:rPr>
                <w:rFonts w:ascii="Times New Roman" w:hAnsi="Times New Roman"/>
                <w:b/>
                <w:i/>
                <w:iCs/>
                <w:color w:val="000000"/>
                <w:sz w:val="22"/>
                <w:szCs w:val="22"/>
              </w:rPr>
              <w:t xml:space="preserve">Не позднее третьего рабочего дня с даты раскрытия информации Банка России о наступлении События прекращения обязательств Б кредитная организация-эмитент обязана представить в Банк России информацию о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 а также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организации-эмитента, а также о сумме, позволяющей достичь значений нормативов достаточности собственных средств (капитала), установленных в соответствии с Инструкцией Банка России № 180-И. Кроме этого, кредитной организацией-эмитентом предоставляется информация о подходах к реализации условий выпуска Облигаций о прекращении обязательств. </w:t>
            </w:r>
          </w:p>
          <w:p w:rsidR="005432D5" w:rsidRPr="00486F1C" w:rsidRDefault="005432D5" w:rsidP="005432D5">
            <w:pPr>
              <w:adjustRightInd w:val="0"/>
              <w:ind w:firstLine="540"/>
              <w:jc w:val="both"/>
              <w:outlineLvl w:val="5"/>
              <w:rPr>
                <w:rFonts w:ascii="Times New Roman" w:hAnsi="Times New Roman"/>
                <w:b/>
                <w:i/>
                <w:iCs/>
                <w:color w:val="000000"/>
                <w:sz w:val="22"/>
                <w:szCs w:val="22"/>
              </w:rPr>
            </w:pPr>
          </w:p>
        </w:tc>
        <w:tc>
          <w:tcPr>
            <w:tcW w:w="4956" w:type="dxa"/>
          </w:tcPr>
          <w:p w:rsidR="005432D5" w:rsidRPr="00486F1C" w:rsidRDefault="005432D5" w:rsidP="005432D5">
            <w:pPr>
              <w:adjustRightInd w:val="0"/>
              <w:ind w:firstLine="540"/>
              <w:jc w:val="both"/>
              <w:outlineLvl w:val="5"/>
              <w:rPr>
                <w:rFonts w:ascii="Times New Roman" w:hAnsi="Times New Roman"/>
                <w:b/>
                <w:i/>
                <w:iCs/>
                <w:color w:val="000000"/>
                <w:sz w:val="22"/>
                <w:szCs w:val="22"/>
              </w:rPr>
            </w:pPr>
            <w:r w:rsidRPr="00486F1C">
              <w:rPr>
                <w:rFonts w:ascii="Times New Roman" w:hAnsi="Times New Roman"/>
                <w:b/>
                <w:i/>
                <w:iCs/>
                <w:color w:val="000000"/>
                <w:sz w:val="22"/>
                <w:szCs w:val="22"/>
              </w:rPr>
              <w:t xml:space="preserve">Не позднее третьего рабочего дня с даты раскрытия информации Банка России о наступлении События прекращения обязательств Б кредитная организация-эмитент обязана представить в Банк России информацию о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 а также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организации-эмитента, а также о сумме, позволяющей достичь значений нормативов достаточности собственных средств (капитала), установленных в соответствии с Инструкцией Банка России № 199-И. Кроме этого, кредитной организацией-эмитентом предоставляется информация о подходах к реализации условий выпуска Облигаций о прекращении обязательств. </w:t>
            </w:r>
          </w:p>
          <w:p w:rsidR="005432D5" w:rsidRPr="00486F1C" w:rsidRDefault="005432D5" w:rsidP="005432D5">
            <w:pPr>
              <w:adjustRightInd w:val="0"/>
              <w:ind w:firstLine="540"/>
              <w:jc w:val="both"/>
              <w:outlineLvl w:val="5"/>
              <w:rPr>
                <w:rFonts w:ascii="Times New Roman" w:hAnsi="Times New Roman"/>
                <w:b/>
                <w:i/>
                <w:iCs/>
                <w:color w:val="000000"/>
                <w:sz w:val="22"/>
                <w:szCs w:val="22"/>
              </w:rPr>
            </w:pPr>
          </w:p>
        </w:tc>
      </w:tr>
      <w:tr w:rsidR="005432D5" w:rsidRPr="001355E9" w:rsidTr="00186A43">
        <w:tc>
          <w:tcPr>
            <w:tcW w:w="9912" w:type="dxa"/>
            <w:gridSpan w:val="2"/>
          </w:tcPr>
          <w:p w:rsidR="005432D5" w:rsidRPr="00865B33" w:rsidRDefault="005432D5" w:rsidP="005432D5">
            <w:pPr>
              <w:pStyle w:val="af5"/>
              <w:numPr>
                <w:ilvl w:val="0"/>
                <w:numId w:val="1"/>
              </w:numPr>
              <w:adjustRightInd w:val="0"/>
              <w:outlineLvl w:val="5"/>
              <w:rPr>
                <w:rFonts w:ascii="Times New Roman" w:hAnsi="Times New Roman"/>
                <w:sz w:val="22"/>
                <w:szCs w:val="22"/>
              </w:rPr>
            </w:pPr>
            <w:r w:rsidRPr="00865B33">
              <w:rPr>
                <w:rFonts w:ascii="Times New Roman" w:hAnsi="Times New Roman"/>
                <w:b/>
                <w:sz w:val="22"/>
                <w:szCs w:val="22"/>
              </w:rPr>
              <w:t>Изменения вносятся в 51-й абзац пункта 10.4.1 Решения о выпуске ценных бумаг</w:t>
            </w:r>
          </w:p>
        </w:tc>
      </w:tr>
      <w:tr w:rsidR="005432D5" w:rsidRPr="00D92EAD" w:rsidTr="00186A43">
        <w:tc>
          <w:tcPr>
            <w:tcW w:w="4956" w:type="dxa"/>
          </w:tcPr>
          <w:p w:rsidR="005432D5" w:rsidRPr="00865B33" w:rsidRDefault="005432D5" w:rsidP="005432D5">
            <w:pPr>
              <w:adjustRightInd w:val="0"/>
              <w:jc w:val="center"/>
              <w:outlineLvl w:val="5"/>
              <w:rPr>
                <w:rFonts w:ascii="Times New Roman" w:hAnsi="Times New Roman"/>
                <w:sz w:val="22"/>
                <w:szCs w:val="22"/>
              </w:rPr>
            </w:pPr>
            <w:r w:rsidRPr="00865B33">
              <w:rPr>
                <w:rFonts w:ascii="Times New Roman" w:hAnsi="Times New Roman"/>
                <w:b/>
                <w:sz w:val="22"/>
                <w:szCs w:val="22"/>
              </w:rPr>
              <w:t>Текст изменяемой редакции</w:t>
            </w:r>
          </w:p>
        </w:tc>
        <w:tc>
          <w:tcPr>
            <w:tcW w:w="4956" w:type="dxa"/>
          </w:tcPr>
          <w:p w:rsidR="005432D5" w:rsidRPr="00865B33" w:rsidRDefault="005432D5" w:rsidP="005432D5">
            <w:pPr>
              <w:adjustRightInd w:val="0"/>
              <w:jc w:val="center"/>
              <w:outlineLvl w:val="5"/>
              <w:rPr>
                <w:rFonts w:ascii="Times New Roman" w:hAnsi="Times New Roman"/>
                <w:sz w:val="22"/>
                <w:szCs w:val="22"/>
              </w:rPr>
            </w:pPr>
            <w:r w:rsidRPr="00865B33">
              <w:rPr>
                <w:rFonts w:ascii="Times New Roman" w:hAnsi="Times New Roman"/>
                <w:b/>
                <w:sz w:val="22"/>
                <w:szCs w:val="22"/>
              </w:rPr>
              <w:t>Текст новой редакции</w:t>
            </w:r>
          </w:p>
        </w:tc>
      </w:tr>
      <w:tr w:rsidR="005432D5" w:rsidRPr="00D92EAD" w:rsidTr="00186A43">
        <w:tc>
          <w:tcPr>
            <w:tcW w:w="4956" w:type="dxa"/>
          </w:tcPr>
          <w:p w:rsidR="005432D5" w:rsidRPr="00B50F89" w:rsidRDefault="005432D5" w:rsidP="005432D5">
            <w:pPr>
              <w:adjustRightInd w:val="0"/>
              <w:ind w:firstLine="540"/>
              <w:jc w:val="both"/>
              <w:outlineLvl w:val="5"/>
              <w:rPr>
                <w:rFonts w:ascii="Times New Roman" w:hAnsi="Times New Roman"/>
                <w:b/>
                <w:i/>
                <w:iCs/>
                <w:color w:val="000000"/>
                <w:sz w:val="22"/>
                <w:szCs w:val="22"/>
              </w:rPr>
            </w:pPr>
            <w:r w:rsidRPr="00B50F89">
              <w:rPr>
                <w:rFonts w:ascii="Times New Roman" w:hAnsi="Times New Roman"/>
                <w:b/>
                <w:i/>
                <w:iCs/>
                <w:color w:val="000000"/>
                <w:sz w:val="22"/>
                <w:szCs w:val="22"/>
              </w:rPr>
              <w:t xml:space="preserve">Прекращение полностью либо частично обязательств кредитной организации- эмитента по возврату суммы основного долга, а также обязательств по финансовым </w:t>
            </w:r>
            <w:r w:rsidRPr="00B50F89">
              <w:rPr>
                <w:rFonts w:ascii="Times New Roman" w:hAnsi="Times New Roman"/>
                <w:b/>
                <w:i/>
                <w:iCs/>
                <w:color w:val="000000"/>
                <w:sz w:val="22"/>
                <w:szCs w:val="22"/>
              </w:rPr>
              <w:lastRenderedPageBreak/>
              <w:t>санкциям за неисполнение обязательств по субординированному облигационному займу, невозмещение и ненакопление невыплаченных процентов вступает в силу только после использования нераспределенной прибыли, резервного фонда и иных источников базового капитала для покрытия убытков кредитной организации-эмитента в 30-й (Тридцатый) рабочий день с даты размещения на официальном сайте Банка России информации о наступлении События прекращения обязательств Б, но до даты начала фактического осуществления Банком России или Агентством мер в соответствии с Федеральным законом от 26.10.2002 № 127-ФЗ «О несостоятельности (банкротстве)» и действует до восстановления значений нормативов достаточности собственных средств (капитала), установленных в соответствии с Инструкцией Банка России №180-И.</w:t>
            </w:r>
          </w:p>
          <w:p w:rsidR="005432D5" w:rsidRPr="00D92EAD" w:rsidRDefault="005432D5" w:rsidP="005432D5">
            <w:pPr>
              <w:adjustRightInd w:val="0"/>
              <w:ind w:firstLine="540"/>
              <w:jc w:val="both"/>
              <w:outlineLvl w:val="5"/>
              <w:rPr>
                <w:rFonts w:ascii="Times New Roman" w:hAnsi="Times New Roman"/>
                <w:b/>
                <w:i/>
                <w:iCs/>
                <w:color w:val="000000"/>
                <w:sz w:val="22"/>
                <w:szCs w:val="22"/>
              </w:rPr>
            </w:pPr>
          </w:p>
        </w:tc>
        <w:tc>
          <w:tcPr>
            <w:tcW w:w="4956" w:type="dxa"/>
          </w:tcPr>
          <w:p w:rsidR="005432D5" w:rsidRPr="00B50F89" w:rsidRDefault="005432D5" w:rsidP="005432D5">
            <w:pPr>
              <w:adjustRightInd w:val="0"/>
              <w:ind w:firstLine="540"/>
              <w:jc w:val="both"/>
              <w:outlineLvl w:val="5"/>
              <w:rPr>
                <w:rFonts w:ascii="Times New Roman" w:hAnsi="Times New Roman"/>
                <w:b/>
                <w:i/>
                <w:iCs/>
                <w:color w:val="000000"/>
                <w:sz w:val="22"/>
                <w:szCs w:val="22"/>
              </w:rPr>
            </w:pPr>
            <w:r w:rsidRPr="00B50F89">
              <w:rPr>
                <w:rFonts w:ascii="Times New Roman" w:hAnsi="Times New Roman"/>
                <w:b/>
                <w:i/>
                <w:iCs/>
                <w:color w:val="000000"/>
                <w:sz w:val="22"/>
                <w:szCs w:val="22"/>
              </w:rPr>
              <w:lastRenderedPageBreak/>
              <w:t xml:space="preserve">Прекращение полностью либо частично обязательств кредитной организации- эмитента по возврату суммы основного долга, а также обязательств по финансовым </w:t>
            </w:r>
            <w:r w:rsidRPr="00B50F89">
              <w:rPr>
                <w:rFonts w:ascii="Times New Roman" w:hAnsi="Times New Roman"/>
                <w:b/>
                <w:i/>
                <w:iCs/>
                <w:color w:val="000000"/>
                <w:sz w:val="22"/>
                <w:szCs w:val="22"/>
              </w:rPr>
              <w:lastRenderedPageBreak/>
              <w:t>санкциям за неисполнение обязательств по субординированному облигационному займу, невозмещение и ненакопление невыплаченных процентов вступает в силу только после использования нераспределенной прибыли, резервного фонда и иных источников базового капитала для покрытия убытков кредитной организации-эмитента в 30-й (Тридцатый) рабочий день с даты размещения на официальном сайте Банка России информации о наступлении События прекращения обязательств Б, но до даты начала фактического осуществления Банком России или Агентством мер в соответствии с Федеральным законом от 26.10.2002 № 127-ФЗ «О несостоятельности (банкротстве)» и действует до восстановления значений нормативов достаточности собственных средств (капитала), установленных в соответствии с Инструкцией Банка России №199-И.</w:t>
            </w:r>
          </w:p>
          <w:p w:rsidR="005432D5" w:rsidRPr="00D92EAD" w:rsidRDefault="005432D5" w:rsidP="005432D5">
            <w:pPr>
              <w:adjustRightInd w:val="0"/>
              <w:ind w:firstLine="540"/>
              <w:jc w:val="both"/>
              <w:outlineLvl w:val="5"/>
              <w:rPr>
                <w:rFonts w:ascii="Times New Roman" w:hAnsi="Times New Roman"/>
                <w:b/>
                <w:i/>
                <w:iCs/>
                <w:color w:val="000000"/>
                <w:sz w:val="22"/>
                <w:szCs w:val="22"/>
              </w:rPr>
            </w:pPr>
          </w:p>
        </w:tc>
      </w:tr>
      <w:tr w:rsidR="005432D5" w:rsidRPr="001355E9" w:rsidTr="00186A43">
        <w:tc>
          <w:tcPr>
            <w:tcW w:w="9912" w:type="dxa"/>
            <w:gridSpan w:val="2"/>
          </w:tcPr>
          <w:p w:rsidR="005432D5" w:rsidRPr="00486F1C" w:rsidRDefault="005432D5" w:rsidP="005432D5">
            <w:pPr>
              <w:pStyle w:val="af5"/>
              <w:numPr>
                <w:ilvl w:val="0"/>
                <w:numId w:val="1"/>
              </w:numPr>
              <w:adjustRightInd w:val="0"/>
              <w:outlineLvl w:val="5"/>
              <w:rPr>
                <w:rFonts w:ascii="Times New Roman" w:hAnsi="Times New Roman"/>
                <w:sz w:val="22"/>
                <w:szCs w:val="22"/>
              </w:rPr>
            </w:pPr>
            <w:r w:rsidRPr="00486F1C">
              <w:rPr>
                <w:rFonts w:ascii="Times New Roman" w:hAnsi="Times New Roman"/>
                <w:b/>
                <w:sz w:val="22"/>
                <w:szCs w:val="22"/>
              </w:rPr>
              <w:lastRenderedPageBreak/>
              <w:t>Изменения вносятся в 53-й абзац пункта 10.4.1 Решения о выпуске ценных бумаг</w:t>
            </w:r>
          </w:p>
        </w:tc>
      </w:tr>
      <w:tr w:rsidR="005432D5" w:rsidRPr="00D92EAD" w:rsidTr="00186A43">
        <w:tc>
          <w:tcPr>
            <w:tcW w:w="4956" w:type="dxa"/>
          </w:tcPr>
          <w:p w:rsidR="005432D5" w:rsidRPr="00486F1C" w:rsidRDefault="005432D5" w:rsidP="005432D5">
            <w:pPr>
              <w:adjustRightInd w:val="0"/>
              <w:jc w:val="center"/>
              <w:outlineLvl w:val="5"/>
              <w:rPr>
                <w:rFonts w:ascii="Times New Roman" w:hAnsi="Times New Roman"/>
                <w:sz w:val="22"/>
                <w:szCs w:val="22"/>
              </w:rPr>
            </w:pPr>
            <w:r w:rsidRPr="00486F1C">
              <w:rPr>
                <w:rFonts w:ascii="Times New Roman" w:hAnsi="Times New Roman"/>
                <w:b/>
                <w:sz w:val="22"/>
                <w:szCs w:val="22"/>
              </w:rPr>
              <w:t>Текст изменяемой редакции</w:t>
            </w:r>
          </w:p>
        </w:tc>
        <w:tc>
          <w:tcPr>
            <w:tcW w:w="4956" w:type="dxa"/>
          </w:tcPr>
          <w:p w:rsidR="005432D5" w:rsidRPr="00486F1C" w:rsidRDefault="005432D5" w:rsidP="005432D5">
            <w:pPr>
              <w:adjustRightInd w:val="0"/>
              <w:jc w:val="center"/>
              <w:outlineLvl w:val="5"/>
              <w:rPr>
                <w:rFonts w:ascii="Times New Roman" w:hAnsi="Times New Roman"/>
                <w:sz w:val="22"/>
                <w:szCs w:val="22"/>
              </w:rPr>
            </w:pPr>
            <w:r w:rsidRPr="00486F1C">
              <w:rPr>
                <w:rFonts w:ascii="Times New Roman" w:hAnsi="Times New Roman"/>
                <w:b/>
                <w:sz w:val="22"/>
                <w:szCs w:val="22"/>
              </w:rPr>
              <w:t>Текст новой редакции</w:t>
            </w:r>
          </w:p>
        </w:tc>
      </w:tr>
      <w:tr w:rsidR="005432D5" w:rsidRPr="00D92EAD" w:rsidTr="00186A43">
        <w:tc>
          <w:tcPr>
            <w:tcW w:w="4956" w:type="dxa"/>
          </w:tcPr>
          <w:p w:rsidR="005432D5" w:rsidRPr="00486F1C" w:rsidRDefault="005432D5" w:rsidP="005432D5">
            <w:pPr>
              <w:adjustRightInd w:val="0"/>
              <w:ind w:firstLine="540"/>
              <w:jc w:val="both"/>
              <w:outlineLvl w:val="5"/>
              <w:rPr>
                <w:rFonts w:ascii="Times New Roman" w:hAnsi="Times New Roman"/>
                <w:b/>
                <w:i/>
                <w:iCs/>
                <w:color w:val="000000"/>
                <w:sz w:val="22"/>
                <w:szCs w:val="22"/>
              </w:rPr>
            </w:pPr>
            <w:r w:rsidRPr="00486F1C">
              <w:rPr>
                <w:rFonts w:ascii="Times New Roman" w:hAnsi="Times New Roman"/>
                <w:b/>
                <w:i/>
                <w:iCs/>
                <w:color w:val="000000"/>
                <w:sz w:val="22"/>
                <w:szCs w:val="22"/>
              </w:rPr>
              <w:t xml:space="preserve">В случае наступления любого из Событий прекращения обязательств, описанных в настоящем пункте 10.4.1. Решения о выпуске Облигаций, и не позднее, чем за 2 (два) рабочих дня до Даты прекращения обязательств, как она определена выше в настоящем пункте, уполномоченный орган Эмитента может принять решение о прекращении обязательств кредитной организации-эмитента по данному субординированному облигационному займу в размере, необходимом для восстановления значения норматива достаточности базового капитала кредитной организации-эмитента до уровня не ниже 2 процентов, либо для восстановления значений нормативов достаточности собственных средств (капитала), установленных в соответствии с Инструкцией Банка России № 180-И, в случае реализации плана участия Банка России или Агентства в осуществлении мер по предупреждению банкротства кредитной организации-эмитента. </w:t>
            </w:r>
          </w:p>
          <w:p w:rsidR="005432D5" w:rsidRPr="00486F1C" w:rsidRDefault="005432D5" w:rsidP="005432D5">
            <w:pPr>
              <w:adjustRightInd w:val="0"/>
              <w:ind w:firstLine="540"/>
              <w:jc w:val="both"/>
              <w:outlineLvl w:val="5"/>
              <w:rPr>
                <w:rFonts w:ascii="Times New Roman" w:hAnsi="Times New Roman"/>
                <w:b/>
                <w:i/>
                <w:iCs/>
                <w:color w:val="000000"/>
                <w:sz w:val="22"/>
                <w:szCs w:val="22"/>
              </w:rPr>
            </w:pPr>
          </w:p>
        </w:tc>
        <w:tc>
          <w:tcPr>
            <w:tcW w:w="4956" w:type="dxa"/>
          </w:tcPr>
          <w:p w:rsidR="005432D5" w:rsidRPr="00486F1C" w:rsidRDefault="005432D5" w:rsidP="005432D5">
            <w:pPr>
              <w:adjustRightInd w:val="0"/>
              <w:ind w:firstLine="540"/>
              <w:jc w:val="both"/>
              <w:outlineLvl w:val="5"/>
              <w:rPr>
                <w:rFonts w:ascii="Times New Roman" w:hAnsi="Times New Roman"/>
                <w:b/>
                <w:i/>
                <w:iCs/>
                <w:color w:val="000000"/>
                <w:sz w:val="22"/>
                <w:szCs w:val="22"/>
              </w:rPr>
            </w:pPr>
            <w:r w:rsidRPr="00486F1C">
              <w:rPr>
                <w:rFonts w:ascii="Times New Roman" w:hAnsi="Times New Roman"/>
                <w:b/>
                <w:i/>
                <w:iCs/>
                <w:color w:val="000000"/>
                <w:sz w:val="22"/>
                <w:szCs w:val="22"/>
              </w:rPr>
              <w:t xml:space="preserve">В случае наступления любого из Событий прекращения обязательств, описанных в настоящем пункте 10.4.1. Решения о выпуске Облигаций, и не позднее, чем за 2 </w:t>
            </w:r>
            <w:r w:rsidR="004F44BD">
              <w:rPr>
                <w:rFonts w:ascii="Times New Roman" w:hAnsi="Times New Roman"/>
                <w:b/>
                <w:i/>
                <w:iCs/>
                <w:color w:val="000000"/>
                <w:sz w:val="22"/>
                <w:szCs w:val="22"/>
              </w:rPr>
              <w:t>(Д</w:t>
            </w:r>
            <w:r w:rsidRPr="00486F1C">
              <w:rPr>
                <w:rFonts w:ascii="Times New Roman" w:hAnsi="Times New Roman"/>
                <w:b/>
                <w:i/>
                <w:iCs/>
                <w:color w:val="000000"/>
                <w:sz w:val="22"/>
                <w:szCs w:val="22"/>
              </w:rPr>
              <w:t xml:space="preserve">ва) рабочих дня до Даты прекращения обязательств, как она определена выше в настоящем пункте, уполномоченный орган Эмитента может принять решение о прекращении обязательств кредитной организации-эмитента по данному субординированному облигационному займу в размере, необходимом для восстановления значения норматива достаточности базового капитала кредитной организации-эмитента до уровня не ниже 2 процентов, либо для восстановления значений нормативов достаточности собственных средств (капитала), установленных в соответствии с Инструкцией Банка России № 199-И, в случае реализации плана участия Банка России или Агентства в осуществлении мер по предупреждению банкротства кредитной организации-эмитента. </w:t>
            </w:r>
          </w:p>
          <w:p w:rsidR="005432D5" w:rsidRPr="00486F1C" w:rsidRDefault="005432D5" w:rsidP="005432D5">
            <w:pPr>
              <w:adjustRightInd w:val="0"/>
              <w:ind w:firstLine="540"/>
              <w:jc w:val="both"/>
              <w:outlineLvl w:val="5"/>
              <w:rPr>
                <w:rFonts w:ascii="Times New Roman" w:hAnsi="Times New Roman"/>
                <w:b/>
                <w:i/>
                <w:iCs/>
                <w:color w:val="000000"/>
                <w:sz w:val="22"/>
                <w:szCs w:val="22"/>
              </w:rPr>
            </w:pPr>
          </w:p>
        </w:tc>
      </w:tr>
      <w:tr w:rsidR="005432D5" w:rsidRPr="001355E9" w:rsidTr="00186A43">
        <w:tc>
          <w:tcPr>
            <w:tcW w:w="9912" w:type="dxa"/>
            <w:gridSpan w:val="2"/>
          </w:tcPr>
          <w:p w:rsidR="005432D5" w:rsidRPr="00486F1C" w:rsidRDefault="005432D5" w:rsidP="005432D5">
            <w:pPr>
              <w:pStyle w:val="af5"/>
              <w:numPr>
                <w:ilvl w:val="0"/>
                <w:numId w:val="1"/>
              </w:numPr>
              <w:adjustRightInd w:val="0"/>
              <w:outlineLvl w:val="5"/>
              <w:rPr>
                <w:rFonts w:ascii="Times New Roman" w:hAnsi="Times New Roman"/>
                <w:sz w:val="22"/>
                <w:szCs w:val="22"/>
              </w:rPr>
            </w:pPr>
            <w:r w:rsidRPr="00486F1C">
              <w:rPr>
                <w:rFonts w:ascii="Times New Roman" w:hAnsi="Times New Roman"/>
                <w:b/>
                <w:sz w:val="22"/>
                <w:szCs w:val="22"/>
              </w:rPr>
              <w:t>Изменения вносятся в 61-й абзац пункта 10.4.1 Решения о выпуске ценных бумаг</w:t>
            </w:r>
          </w:p>
        </w:tc>
      </w:tr>
      <w:tr w:rsidR="005432D5" w:rsidRPr="00D92EAD" w:rsidTr="00186A43">
        <w:tc>
          <w:tcPr>
            <w:tcW w:w="4956" w:type="dxa"/>
          </w:tcPr>
          <w:p w:rsidR="005432D5" w:rsidRPr="00486F1C" w:rsidRDefault="005432D5" w:rsidP="005432D5">
            <w:pPr>
              <w:adjustRightInd w:val="0"/>
              <w:jc w:val="center"/>
              <w:outlineLvl w:val="5"/>
              <w:rPr>
                <w:rFonts w:ascii="Times New Roman" w:hAnsi="Times New Roman"/>
                <w:sz w:val="22"/>
                <w:szCs w:val="22"/>
              </w:rPr>
            </w:pPr>
            <w:r w:rsidRPr="00486F1C">
              <w:rPr>
                <w:rFonts w:ascii="Times New Roman" w:hAnsi="Times New Roman"/>
                <w:b/>
                <w:sz w:val="22"/>
                <w:szCs w:val="22"/>
              </w:rPr>
              <w:t>Текст изменяемой редакции</w:t>
            </w:r>
          </w:p>
        </w:tc>
        <w:tc>
          <w:tcPr>
            <w:tcW w:w="4956" w:type="dxa"/>
          </w:tcPr>
          <w:p w:rsidR="005432D5" w:rsidRPr="00486F1C" w:rsidRDefault="005432D5" w:rsidP="005432D5">
            <w:pPr>
              <w:adjustRightInd w:val="0"/>
              <w:jc w:val="center"/>
              <w:outlineLvl w:val="5"/>
              <w:rPr>
                <w:rFonts w:ascii="Times New Roman" w:hAnsi="Times New Roman"/>
                <w:sz w:val="22"/>
                <w:szCs w:val="22"/>
              </w:rPr>
            </w:pPr>
            <w:r w:rsidRPr="00486F1C">
              <w:rPr>
                <w:rFonts w:ascii="Times New Roman" w:hAnsi="Times New Roman"/>
                <w:b/>
                <w:sz w:val="22"/>
                <w:szCs w:val="22"/>
              </w:rPr>
              <w:t>Текст новой редакции</w:t>
            </w:r>
          </w:p>
        </w:tc>
      </w:tr>
      <w:tr w:rsidR="005432D5" w:rsidRPr="00D92EAD" w:rsidTr="00186A43">
        <w:tc>
          <w:tcPr>
            <w:tcW w:w="4956" w:type="dxa"/>
          </w:tcPr>
          <w:p w:rsidR="005432D5" w:rsidRPr="00D92EAD" w:rsidRDefault="005432D5" w:rsidP="005432D5">
            <w:pPr>
              <w:adjustRightInd w:val="0"/>
              <w:ind w:firstLine="540"/>
              <w:jc w:val="both"/>
              <w:outlineLvl w:val="5"/>
              <w:rPr>
                <w:rFonts w:ascii="Times New Roman" w:hAnsi="Times New Roman"/>
                <w:b/>
                <w:i/>
                <w:iCs/>
                <w:color w:val="000000"/>
                <w:sz w:val="22"/>
                <w:szCs w:val="22"/>
              </w:rPr>
            </w:pPr>
            <w:r w:rsidRPr="00B50F89">
              <w:rPr>
                <w:rFonts w:ascii="Times New Roman" w:hAnsi="Times New Roman"/>
                <w:b/>
                <w:i/>
                <w:iCs/>
                <w:color w:val="000000"/>
                <w:sz w:val="22"/>
                <w:szCs w:val="22"/>
              </w:rPr>
              <w:t xml:space="preserve">– размером (суммой) обязательств кредитной организации-эмитента, которые должны быть прекращены в Дату прекращения обязательств для восстановления значения норматива достаточности базового капитала кредитной организации- эмитента до уровня не ниже 2 процентов, либо для восстановления значений нормативов достаточности собственных средств (капитала), установленных в </w:t>
            </w:r>
            <w:r w:rsidRPr="00B50F89">
              <w:rPr>
                <w:rFonts w:ascii="Times New Roman" w:hAnsi="Times New Roman"/>
                <w:b/>
                <w:i/>
                <w:iCs/>
                <w:color w:val="000000"/>
                <w:sz w:val="22"/>
                <w:szCs w:val="22"/>
              </w:rPr>
              <w:lastRenderedPageBreak/>
              <w:t>соответствии с Инструкцией Банка России № 180-И, в случае реализации плана участия Банка России или Агентства в осуществлении мер по предупреждению банкротства кредитной организации-эмитента.</w:t>
            </w:r>
          </w:p>
        </w:tc>
        <w:tc>
          <w:tcPr>
            <w:tcW w:w="4956" w:type="dxa"/>
          </w:tcPr>
          <w:p w:rsidR="005432D5" w:rsidRPr="00B50F89" w:rsidRDefault="005432D5" w:rsidP="005432D5">
            <w:pPr>
              <w:pStyle w:val="Default"/>
              <w:ind w:firstLine="540"/>
              <w:jc w:val="both"/>
              <w:rPr>
                <w:rFonts w:ascii="Times New Roman" w:hAnsi="Times New Roman"/>
                <w:b/>
                <w:i/>
                <w:iCs/>
                <w:sz w:val="22"/>
                <w:szCs w:val="22"/>
              </w:rPr>
            </w:pPr>
            <w:r w:rsidRPr="00B50F89">
              <w:rPr>
                <w:rFonts w:ascii="Times New Roman" w:hAnsi="Times New Roman"/>
                <w:b/>
                <w:i/>
                <w:iCs/>
                <w:sz w:val="22"/>
                <w:szCs w:val="22"/>
              </w:rPr>
              <w:lastRenderedPageBreak/>
              <w:t xml:space="preserve">– размером (суммой) обязательств кредитной организации-эмитента, которые должны быть прекращены в Дату прекращения обязательств для восстановления значения норматива достаточности базового капитала кредитной организации- эмитента до уровня не ниже 2 процентов, либо для восстановления значений нормативов достаточности собственных средств (капитала), установленных в </w:t>
            </w:r>
            <w:r w:rsidRPr="00B50F89">
              <w:rPr>
                <w:rFonts w:ascii="Times New Roman" w:hAnsi="Times New Roman"/>
                <w:b/>
                <w:i/>
                <w:iCs/>
                <w:sz w:val="22"/>
                <w:szCs w:val="22"/>
              </w:rPr>
              <w:lastRenderedPageBreak/>
              <w:t xml:space="preserve">соответствии с Инструкцией Банка России № 199-И, в случае реализации плана участия Банка России или Агентства в осуществлении мер по предупреждению банкротства кредитной организации-эмитента. </w:t>
            </w:r>
          </w:p>
          <w:p w:rsidR="005432D5" w:rsidRPr="00D92EAD" w:rsidRDefault="005432D5" w:rsidP="005432D5">
            <w:pPr>
              <w:adjustRightInd w:val="0"/>
              <w:ind w:firstLine="540"/>
              <w:jc w:val="both"/>
              <w:outlineLvl w:val="5"/>
              <w:rPr>
                <w:rFonts w:ascii="Times New Roman" w:hAnsi="Times New Roman"/>
                <w:b/>
                <w:i/>
                <w:iCs/>
                <w:color w:val="000000"/>
                <w:sz w:val="22"/>
                <w:szCs w:val="22"/>
              </w:rPr>
            </w:pPr>
          </w:p>
        </w:tc>
      </w:tr>
      <w:tr w:rsidR="005432D5" w:rsidRPr="001355E9" w:rsidTr="00186A43">
        <w:tc>
          <w:tcPr>
            <w:tcW w:w="9912" w:type="dxa"/>
            <w:gridSpan w:val="2"/>
          </w:tcPr>
          <w:p w:rsidR="005432D5" w:rsidRPr="00486F1C" w:rsidRDefault="005432D5" w:rsidP="005432D5">
            <w:pPr>
              <w:pStyle w:val="af5"/>
              <w:numPr>
                <w:ilvl w:val="0"/>
                <w:numId w:val="1"/>
              </w:numPr>
              <w:adjustRightInd w:val="0"/>
              <w:outlineLvl w:val="5"/>
              <w:rPr>
                <w:rFonts w:ascii="Times New Roman" w:hAnsi="Times New Roman"/>
                <w:sz w:val="22"/>
                <w:szCs w:val="22"/>
              </w:rPr>
            </w:pPr>
            <w:r w:rsidRPr="00486F1C">
              <w:rPr>
                <w:rFonts w:ascii="Times New Roman" w:hAnsi="Times New Roman"/>
                <w:b/>
                <w:sz w:val="22"/>
                <w:szCs w:val="22"/>
              </w:rPr>
              <w:lastRenderedPageBreak/>
              <w:t>Изменения вносятся в 63-й абзац пункта 10.4.1 Решения о выпуске ценных бумаг</w:t>
            </w:r>
          </w:p>
        </w:tc>
      </w:tr>
      <w:tr w:rsidR="005432D5" w:rsidRPr="00D92EAD" w:rsidTr="00186A43">
        <w:tc>
          <w:tcPr>
            <w:tcW w:w="4956" w:type="dxa"/>
          </w:tcPr>
          <w:p w:rsidR="005432D5" w:rsidRPr="00486F1C" w:rsidRDefault="005432D5" w:rsidP="005432D5">
            <w:pPr>
              <w:adjustRightInd w:val="0"/>
              <w:jc w:val="center"/>
              <w:outlineLvl w:val="5"/>
              <w:rPr>
                <w:rFonts w:ascii="Times New Roman" w:hAnsi="Times New Roman"/>
                <w:sz w:val="22"/>
                <w:szCs w:val="22"/>
              </w:rPr>
            </w:pPr>
            <w:r w:rsidRPr="00486F1C">
              <w:rPr>
                <w:rFonts w:ascii="Times New Roman" w:hAnsi="Times New Roman"/>
                <w:b/>
                <w:sz w:val="22"/>
                <w:szCs w:val="22"/>
              </w:rPr>
              <w:t>Текст изменяемой редакции</w:t>
            </w:r>
          </w:p>
        </w:tc>
        <w:tc>
          <w:tcPr>
            <w:tcW w:w="4956" w:type="dxa"/>
          </w:tcPr>
          <w:p w:rsidR="005432D5" w:rsidRPr="00486F1C" w:rsidRDefault="005432D5" w:rsidP="005432D5">
            <w:pPr>
              <w:adjustRightInd w:val="0"/>
              <w:jc w:val="center"/>
              <w:outlineLvl w:val="5"/>
              <w:rPr>
                <w:rFonts w:ascii="Times New Roman" w:hAnsi="Times New Roman"/>
                <w:sz w:val="22"/>
                <w:szCs w:val="22"/>
              </w:rPr>
            </w:pPr>
            <w:r w:rsidRPr="00486F1C">
              <w:rPr>
                <w:rFonts w:ascii="Times New Roman" w:hAnsi="Times New Roman"/>
                <w:b/>
                <w:sz w:val="22"/>
                <w:szCs w:val="22"/>
              </w:rPr>
              <w:t>Текст новой редакции</w:t>
            </w:r>
          </w:p>
        </w:tc>
      </w:tr>
      <w:tr w:rsidR="005432D5" w:rsidRPr="00D92EAD" w:rsidTr="00186A43">
        <w:tc>
          <w:tcPr>
            <w:tcW w:w="4956" w:type="dxa"/>
          </w:tcPr>
          <w:p w:rsidR="005432D5" w:rsidRPr="00486F1C" w:rsidRDefault="005432D5" w:rsidP="005432D5">
            <w:pPr>
              <w:adjustRightInd w:val="0"/>
              <w:ind w:firstLine="540"/>
              <w:jc w:val="both"/>
              <w:outlineLvl w:val="5"/>
              <w:rPr>
                <w:rFonts w:ascii="Times New Roman" w:hAnsi="Times New Roman"/>
                <w:b/>
                <w:i/>
                <w:iCs/>
                <w:color w:val="000000"/>
                <w:sz w:val="22"/>
                <w:szCs w:val="22"/>
              </w:rPr>
            </w:pPr>
            <w:r w:rsidRPr="00486F1C">
              <w:rPr>
                <w:rFonts w:ascii="Times New Roman" w:hAnsi="Times New Roman"/>
                <w:b/>
                <w:i/>
                <w:iCs/>
                <w:color w:val="000000"/>
                <w:sz w:val="22"/>
                <w:szCs w:val="22"/>
              </w:rPr>
              <w:t xml:space="preserve">Эмитент публикует сообщение о принятии решения о прекращении обязательств кредитной организации-эмитента по данному субординированному облигационному займу в размере, необходимом для восстановления значения норматива достаточности базового капитала кредитной организации-эмитента до уровня не ниже 2 процентов, либо для восстановления значений нормативов достаточности собственных средств (капитала), установленных в соответствии с Инструкцией Банка России № 180-И, в случае реализации плана участия Банка России или Агентства в осуществлении мер по предупреждению банкротства кредитной организации-эмитента,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 Эмитента, если составление протокола не требуется, но не позднее, чем за 1 (Один) рабочий день до Даты прекращения обязательств: </w:t>
            </w:r>
          </w:p>
          <w:p w:rsidR="005432D5" w:rsidRPr="00486F1C" w:rsidRDefault="005432D5" w:rsidP="005432D5">
            <w:pPr>
              <w:adjustRightInd w:val="0"/>
              <w:ind w:firstLine="540"/>
              <w:jc w:val="both"/>
              <w:outlineLvl w:val="5"/>
              <w:rPr>
                <w:rFonts w:ascii="Times New Roman" w:hAnsi="Times New Roman"/>
                <w:b/>
                <w:i/>
                <w:iCs/>
                <w:color w:val="000000"/>
                <w:sz w:val="22"/>
                <w:szCs w:val="22"/>
              </w:rPr>
            </w:pPr>
          </w:p>
        </w:tc>
        <w:tc>
          <w:tcPr>
            <w:tcW w:w="4956" w:type="dxa"/>
          </w:tcPr>
          <w:p w:rsidR="005432D5" w:rsidRPr="00486F1C" w:rsidRDefault="005432D5" w:rsidP="005432D5">
            <w:pPr>
              <w:adjustRightInd w:val="0"/>
              <w:ind w:firstLine="540"/>
              <w:jc w:val="both"/>
              <w:outlineLvl w:val="5"/>
              <w:rPr>
                <w:rFonts w:ascii="Times New Roman" w:hAnsi="Times New Roman"/>
                <w:b/>
                <w:i/>
                <w:iCs/>
                <w:color w:val="000000"/>
                <w:sz w:val="22"/>
                <w:szCs w:val="22"/>
              </w:rPr>
            </w:pPr>
            <w:r w:rsidRPr="00486F1C">
              <w:rPr>
                <w:rFonts w:ascii="Times New Roman" w:hAnsi="Times New Roman"/>
                <w:b/>
                <w:i/>
                <w:iCs/>
                <w:color w:val="000000"/>
                <w:sz w:val="22"/>
                <w:szCs w:val="22"/>
              </w:rPr>
              <w:t xml:space="preserve">Эмитент публикует сообщение о принятии решения о прекращении обязательств кредитной организации-эмитента по данному субординированному облигационному займу в размере, необходимом для восстановления значения норматива достаточности базового капитала кредитной организации-эмитента до уровня не ниже 2 процентов, либо для восстановления значений нормативов достаточности собственных средств (капитала), установленных в соответствии с Инструкцией Банка России № 199-И, в случае реализации плана участия Банка России или Агентства в осуществлении мер по предупреждению банкротства кредитной организации-эмитента,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 Эмитента, если составление протокола не требуется, но не позднее, чем за 1 (Один) рабочий день до Даты прекращения обязательств: </w:t>
            </w:r>
          </w:p>
          <w:p w:rsidR="005432D5" w:rsidRPr="00486F1C" w:rsidRDefault="005432D5" w:rsidP="005432D5">
            <w:pPr>
              <w:adjustRightInd w:val="0"/>
              <w:ind w:firstLine="540"/>
              <w:jc w:val="both"/>
              <w:outlineLvl w:val="5"/>
              <w:rPr>
                <w:rFonts w:ascii="Times New Roman" w:hAnsi="Times New Roman"/>
                <w:b/>
                <w:i/>
                <w:iCs/>
                <w:color w:val="000000"/>
                <w:sz w:val="22"/>
                <w:szCs w:val="22"/>
              </w:rPr>
            </w:pPr>
          </w:p>
        </w:tc>
      </w:tr>
      <w:tr w:rsidR="005432D5" w:rsidRPr="00D92EAD" w:rsidTr="00102740">
        <w:tc>
          <w:tcPr>
            <w:tcW w:w="9912" w:type="dxa"/>
            <w:gridSpan w:val="2"/>
          </w:tcPr>
          <w:p w:rsidR="005432D5" w:rsidRPr="00486F1C" w:rsidRDefault="005432D5" w:rsidP="005432D5">
            <w:pPr>
              <w:pStyle w:val="af5"/>
              <w:numPr>
                <w:ilvl w:val="0"/>
                <w:numId w:val="1"/>
              </w:numPr>
              <w:adjustRightInd w:val="0"/>
              <w:jc w:val="both"/>
              <w:outlineLvl w:val="5"/>
              <w:rPr>
                <w:rFonts w:ascii="Times New Roman" w:hAnsi="Times New Roman"/>
                <w:b/>
                <w:i/>
                <w:iCs/>
                <w:color w:val="000000"/>
                <w:sz w:val="22"/>
                <w:szCs w:val="22"/>
              </w:rPr>
            </w:pPr>
            <w:r w:rsidRPr="00486F1C">
              <w:rPr>
                <w:rFonts w:ascii="Times New Roman" w:hAnsi="Times New Roman"/>
                <w:b/>
                <w:sz w:val="22"/>
                <w:szCs w:val="22"/>
              </w:rPr>
              <w:t>Изменения вносятся в пункт 15 Решения о выпуске ценных бумаг в виде исключения подпункта 19 следующего содержания</w:t>
            </w:r>
          </w:p>
        </w:tc>
      </w:tr>
      <w:tr w:rsidR="005432D5" w:rsidRPr="00D92EAD" w:rsidTr="001C2282">
        <w:tc>
          <w:tcPr>
            <w:tcW w:w="9912" w:type="dxa"/>
            <w:gridSpan w:val="2"/>
          </w:tcPr>
          <w:p w:rsidR="005432D5" w:rsidRPr="00486F1C" w:rsidRDefault="005432D5" w:rsidP="005432D5">
            <w:pPr>
              <w:adjustRightInd w:val="0"/>
              <w:ind w:firstLine="540"/>
              <w:jc w:val="both"/>
              <w:outlineLvl w:val="5"/>
              <w:rPr>
                <w:rFonts w:ascii="Times New Roman" w:hAnsi="Times New Roman"/>
                <w:b/>
                <w:i/>
                <w:iCs/>
                <w:color w:val="000000"/>
                <w:sz w:val="22"/>
                <w:szCs w:val="22"/>
              </w:rPr>
            </w:pPr>
            <w:r w:rsidRPr="00486F1C">
              <w:rPr>
                <w:rFonts w:ascii="Times New Roman" w:hAnsi="Times New Roman"/>
                <w:b/>
                <w:i/>
                <w:iCs/>
                <w:color w:val="000000"/>
                <w:sz w:val="22"/>
                <w:szCs w:val="22"/>
              </w:rPr>
              <w:t xml:space="preserve">19) Сообщение о принятии Эмитентом решения о реализации права отказа в одностороннем порядке от уплаты дохода по Облигациям раскрывается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такое решение, или с даты принятия такого решения уполномоченным органом Эмитента, если составление протокола не требуется, и не позднее даты окончания купонного периода: </w:t>
            </w:r>
          </w:p>
          <w:p w:rsidR="005432D5" w:rsidRPr="00486F1C" w:rsidRDefault="005432D5" w:rsidP="005432D5">
            <w:pPr>
              <w:adjustRightInd w:val="0"/>
              <w:ind w:firstLine="540"/>
              <w:jc w:val="both"/>
              <w:outlineLvl w:val="5"/>
              <w:rPr>
                <w:rFonts w:ascii="Times New Roman" w:hAnsi="Times New Roman"/>
                <w:b/>
                <w:i/>
                <w:iCs/>
                <w:color w:val="000000"/>
                <w:sz w:val="22"/>
                <w:szCs w:val="22"/>
              </w:rPr>
            </w:pPr>
            <w:r w:rsidRPr="00486F1C">
              <w:rPr>
                <w:rFonts w:ascii="Times New Roman" w:hAnsi="Times New Roman"/>
                <w:b/>
                <w:i/>
                <w:iCs/>
                <w:color w:val="000000"/>
                <w:sz w:val="22"/>
                <w:szCs w:val="22"/>
              </w:rPr>
              <w:t xml:space="preserve">– в Ленте новостей – не позднее 1 (Одного) дня; </w:t>
            </w:r>
          </w:p>
          <w:p w:rsidR="005432D5" w:rsidRPr="00486F1C" w:rsidRDefault="005432D5" w:rsidP="005432D5">
            <w:pPr>
              <w:adjustRightInd w:val="0"/>
              <w:ind w:firstLine="540"/>
              <w:jc w:val="both"/>
              <w:outlineLvl w:val="5"/>
              <w:rPr>
                <w:rFonts w:ascii="Times New Roman" w:hAnsi="Times New Roman"/>
                <w:b/>
                <w:i/>
                <w:iCs/>
                <w:color w:val="000000"/>
                <w:sz w:val="22"/>
                <w:szCs w:val="22"/>
              </w:rPr>
            </w:pPr>
            <w:r w:rsidRPr="00486F1C">
              <w:rPr>
                <w:rFonts w:ascii="Times New Roman" w:hAnsi="Times New Roman"/>
                <w:b/>
                <w:i/>
                <w:iCs/>
                <w:color w:val="000000"/>
                <w:sz w:val="22"/>
                <w:szCs w:val="22"/>
              </w:rPr>
              <w:t xml:space="preserve">– на странице в Сети Интернет – не позднее 2 (Двух) дней. </w:t>
            </w:r>
          </w:p>
          <w:p w:rsidR="005432D5" w:rsidRPr="00486F1C" w:rsidRDefault="005432D5" w:rsidP="005432D5">
            <w:pPr>
              <w:adjustRightInd w:val="0"/>
              <w:ind w:firstLine="540"/>
              <w:jc w:val="both"/>
              <w:outlineLvl w:val="5"/>
              <w:rPr>
                <w:rFonts w:ascii="Times New Roman" w:hAnsi="Times New Roman"/>
                <w:b/>
                <w:i/>
                <w:iCs/>
                <w:color w:val="000000"/>
                <w:sz w:val="22"/>
                <w:szCs w:val="22"/>
              </w:rPr>
            </w:pPr>
            <w:r w:rsidRPr="00486F1C">
              <w:rPr>
                <w:rFonts w:ascii="Times New Roman" w:hAnsi="Times New Roman"/>
                <w:b/>
                <w:i/>
                <w:iCs/>
                <w:color w:val="000000"/>
                <w:sz w:val="22"/>
                <w:szCs w:val="22"/>
              </w:rPr>
              <w:t xml:space="preserve">При этом публикация на странице в Сети Интернет осуществляется после публикации в Ленте новостей. </w:t>
            </w:r>
          </w:p>
          <w:p w:rsidR="005432D5" w:rsidRPr="00486F1C" w:rsidRDefault="005432D5" w:rsidP="005432D5">
            <w:pPr>
              <w:adjustRightInd w:val="0"/>
              <w:ind w:firstLine="540"/>
              <w:jc w:val="both"/>
              <w:outlineLvl w:val="5"/>
              <w:rPr>
                <w:rFonts w:ascii="Times New Roman" w:hAnsi="Times New Roman"/>
                <w:b/>
                <w:i/>
                <w:iCs/>
                <w:color w:val="000000"/>
                <w:sz w:val="22"/>
                <w:szCs w:val="22"/>
              </w:rPr>
            </w:pPr>
            <w:r w:rsidRPr="00486F1C">
              <w:rPr>
                <w:rFonts w:ascii="Times New Roman" w:hAnsi="Times New Roman"/>
                <w:b/>
                <w:i/>
                <w:iCs/>
                <w:color w:val="000000"/>
                <w:sz w:val="22"/>
                <w:szCs w:val="22"/>
              </w:rPr>
              <w:t xml:space="preserve">Указанное сообщение о существенном факте будет содержать индивидуальный государственный регистрационный номер Облигаций, владельцам которых Эмитентом не будет выплачен доход, размер такого дохода (в процентах и в абсолютной величине) по каждой Облигации, период, за который указанный доход начислен, дата принятия решения об отказе от уплаты дохода по Облигациям, уполномоченный орган Эмитента, принявший решение об отказе от уплаты дохода по Облигациям, иная информация по усмотрению Эмитента, в том числе указание на то, что реализация Эмитентом указанного права не влечет за собой возникновение финансовых санкций за неисполнение обязательств по уплате процентов по субординированному облигационному займу. </w:t>
            </w:r>
          </w:p>
          <w:p w:rsidR="005432D5" w:rsidRPr="00486F1C" w:rsidRDefault="005432D5" w:rsidP="005432D5">
            <w:pPr>
              <w:adjustRightInd w:val="0"/>
              <w:ind w:firstLine="540"/>
              <w:jc w:val="both"/>
              <w:outlineLvl w:val="5"/>
              <w:rPr>
                <w:rFonts w:ascii="Times New Roman" w:hAnsi="Times New Roman"/>
                <w:b/>
                <w:i/>
                <w:iCs/>
                <w:color w:val="000000"/>
                <w:sz w:val="22"/>
                <w:szCs w:val="22"/>
              </w:rPr>
            </w:pPr>
            <w:r w:rsidRPr="00486F1C">
              <w:rPr>
                <w:rFonts w:ascii="Times New Roman" w:hAnsi="Times New Roman"/>
                <w:b/>
                <w:i/>
                <w:iCs/>
                <w:color w:val="000000"/>
                <w:sz w:val="22"/>
                <w:szCs w:val="22"/>
              </w:rPr>
              <w:lastRenderedPageBreak/>
              <w:t>Эмитент уведомляет НРД и Биржу о принятом решении об отказе Эмитента от уплаты дохода по Облигациям не позднее следующего рабочего дня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 Эмитента, если составление протокола не требуется.</w:t>
            </w:r>
          </w:p>
        </w:tc>
      </w:tr>
      <w:tr w:rsidR="005432D5" w:rsidRPr="001355E9" w:rsidTr="00186A43">
        <w:tc>
          <w:tcPr>
            <w:tcW w:w="9912" w:type="dxa"/>
            <w:gridSpan w:val="2"/>
          </w:tcPr>
          <w:p w:rsidR="005432D5" w:rsidRPr="00486F1C" w:rsidRDefault="005432D5" w:rsidP="005432D5">
            <w:pPr>
              <w:pStyle w:val="af5"/>
              <w:numPr>
                <w:ilvl w:val="0"/>
                <w:numId w:val="1"/>
              </w:numPr>
              <w:adjustRightInd w:val="0"/>
              <w:outlineLvl w:val="5"/>
              <w:rPr>
                <w:rFonts w:ascii="Times New Roman" w:hAnsi="Times New Roman"/>
                <w:sz w:val="22"/>
                <w:szCs w:val="22"/>
              </w:rPr>
            </w:pPr>
            <w:r w:rsidRPr="00486F1C">
              <w:rPr>
                <w:rFonts w:ascii="Times New Roman" w:hAnsi="Times New Roman"/>
                <w:b/>
                <w:sz w:val="22"/>
                <w:szCs w:val="22"/>
              </w:rPr>
              <w:lastRenderedPageBreak/>
              <w:t>Изменения вносятся в 1-й абзац подпункт</w:t>
            </w:r>
            <w:r w:rsidR="00A22E96">
              <w:rPr>
                <w:rFonts w:ascii="Times New Roman" w:hAnsi="Times New Roman"/>
                <w:b/>
                <w:sz w:val="22"/>
                <w:szCs w:val="22"/>
              </w:rPr>
              <w:t>а</w:t>
            </w:r>
            <w:r w:rsidRPr="00486F1C">
              <w:rPr>
                <w:rFonts w:ascii="Times New Roman" w:hAnsi="Times New Roman"/>
                <w:b/>
                <w:sz w:val="22"/>
                <w:szCs w:val="22"/>
              </w:rPr>
              <w:t xml:space="preserve"> 21.5 пункта 15 Решения о выпуске ценных бумаг</w:t>
            </w:r>
          </w:p>
        </w:tc>
      </w:tr>
      <w:tr w:rsidR="005432D5" w:rsidRPr="00D92EAD" w:rsidTr="00186A43">
        <w:tc>
          <w:tcPr>
            <w:tcW w:w="4956" w:type="dxa"/>
          </w:tcPr>
          <w:p w:rsidR="005432D5" w:rsidRPr="00486F1C" w:rsidRDefault="005432D5" w:rsidP="005432D5">
            <w:pPr>
              <w:adjustRightInd w:val="0"/>
              <w:jc w:val="center"/>
              <w:outlineLvl w:val="5"/>
              <w:rPr>
                <w:rFonts w:ascii="Times New Roman" w:hAnsi="Times New Roman"/>
                <w:sz w:val="22"/>
                <w:szCs w:val="22"/>
              </w:rPr>
            </w:pPr>
            <w:r w:rsidRPr="00486F1C">
              <w:rPr>
                <w:rFonts w:ascii="Times New Roman" w:hAnsi="Times New Roman"/>
                <w:b/>
                <w:sz w:val="22"/>
                <w:szCs w:val="22"/>
              </w:rPr>
              <w:t>Текст изменяемой редакции</w:t>
            </w:r>
          </w:p>
        </w:tc>
        <w:tc>
          <w:tcPr>
            <w:tcW w:w="4956" w:type="dxa"/>
          </w:tcPr>
          <w:p w:rsidR="005432D5" w:rsidRPr="00486F1C" w:rsidRDefault="005432D5" w:rsidP="005432D5">
            <w:pPr>
              <w:adjustRightInd w:val="0"/>
              <w:jc w:val="center"/>
              <w:outlineLvl w:val="5"/>
              <w:rPr>
                <w:rFonts w:ascii="Times New Roman" w:hAnsi="Times New Roman"/>
                <w:sz w:val="22"/>
                <w:szCs w:val="22"/>
              </w:rPr>
            </w:pPr>
            <w:r w:rsidRPr="00486F1C">
              <w:rPr>
                <w:rFonts w:ascii="Times New Roman" w:hAnsi="Times New Roman"/>
                <w:b/>
                <w:sz w:val="22"/>
                <w:szCs w:val="22"/>
              </w:rPr>
              <w:t>Текст новой редакции</w:t>
            </w:r>
          </w:p>
        </w:tc>
      </w:tr>
      <w:tr w:rsidR="005432D5" w:rsidRPr="00D92EAD" w:rsidTr="00186A43">
        <w:tc>
          <w:tcPr>
            <w:tcW w:w="4956" w:type="dxa"/>
          </w:tcPr>
          <w:p w:rsidR="005432D5" w:rsidRPr="00486F1C" w:rsidRDefault="005432D5" w:rsidP="005432D5">
            <w:pPr>
              <w:adjustRightInd w:val="0"/>
              <w:ind w:firstLine="540"/>
              <w:jc w:val="both"/>
              <w:outlineLvl w:val="5"/>
              <w:rPr>
                <w:rFonts w:ascii="Times New Roman" w:hAnsi="Times New Roman"/>
                <w:b/>
                <w:i/>
                <w:iCs/>
                <w:color w:val="000000"/>
                <w:sz w:val="22"/>
                <w:szCs w:val="22"/>
              </w:rPr>
            </w:pPr>
            <w:r w:rsidRPr="00486F1C">
              <w:rPr>
                <w:rFonts w:ascii="Times New Roman" w:hAnsi="Times New Roman"/>
                <w:b/>
                <w:i/>
                <w:iCs/>
                <w:color w:val="000000"/>
                <w:sz w:val="22"/>
                <w:szCs w:val="22"/>
              </w:rPr>
              <w:t xml:space="preserve">Эмитент публикует сообщение о принятии решения о прекращении обязательств Эмитента по Облигациям в размере, необходимом для восстановления значения норматива достаточности базового капитала Эмитента до уровня не ниже 2 процентов, либо для восстановления значений нормативов достаточности собственных средств (капитала), установленных в соответствии с Инструкцией Банка России № 180-И, в случае реализации плана участия Банка России или Агентства в осуществлении мер по предупреждению банкротства Эмитента,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такое решение, или с даты принятия такого решения уполномоченным органом Эмитента, если составление протокола не требуется, но не позднее, чем за 1 (Один) рабочий день до Даты прекращения обязательств: </w:t>
            </w:r>
          </w:p>
          <w:p w:rsidR="005432D5" w:rsidRPr="00486F1C" w:rsidRDefault="005432D5" w:rsidP="005432D5">
            <w:pPr>
              <w:adjustRightInd w:val="0"/>
              <w:ind w:firstLine="540"/>
              <w:jc w:val="both"/>
              <w:outlineLvl w:val="5"/>
              <w:rPr>
                <w:rFonts w:ascii="Times New Roman" w:hAnsi="Times New Roman"/>
                <w:b/>
                <w:i/>
                <w:iCs/>
                <w:color w:val="000000"/>
                <w:sz w:val="22"/>
                <w:szCs w:val="22"/>
              </w:rPr>
            </w:pPr>
          </w:p>
        </w:tc>
        <w:tc>
          <w:tcPr>
            <w:tcW w:w="4956" w:type="dxa"/>
          </w:tcPr>
          <w:p w:rsidR="005432D5" w:rsidRPr="00486F1C" w:rsidRDefault="005432D5" w:rsidP="005432D5">
            <w:pPr>
              <w:adjustRightInd w:val="0"/>
              <w:ind w:firstLine="540"/>
              <w:jc w:val="both"/>
              <w:outlineLvl w:val="5"/>
              <w:rPr>
                <w:rFonts w:ascii="Times New Roman" w:hAnsi="Times New Roman"/>
                <w:b/>
                <w:i/>
                <w:iCs/>
                <w:color w:val="000000"/>
                <w:sz w:val="22"/>
                <w:szCs w:val="22"/>
              </w:rPr>
            </w:pPr>
            <w:r w:rsidRPr="00486F1C">
              <w:rPr>
                <w:rFonts w:ascii="Times New Roman" w:hAnsi="Times New Roman"/>
                <w:b/>
                <w:i/>
                <w:iCs/>
                <w:color w:val="000000"/>
                <w:sz w:val="22"/>
                <w:szCs w:val="22"/>
              </w:rPr>
              <w:t xml:space="preserve">Эмитент публикует сообщение о принятии решения о прекращении обязательств Эмитента по Облигациям в размере, необходимом для восстановления значения норматива достаточности базового капитала Эмитента до уровня не ниже 2 процентов, либо для восстановления значений нормативов достаточности собственных средств (капитала), установленных в соответствии с Инструкцией Банка России № 199-И, в случае реализации плана участия Банка России или Агентства в осуществлении мер по предупреждению банкротства Эмитента,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такое решение, или с даты принятия такого решения уполномоченным органом Эмитента, если составление протокола не требуется, но не позднее, чем за 1 (Один) рабочий день до Даты прекращения обязательств: </w:t>
            </w:r>
          </w:p>
          <w:p w:rsidR="005432D5" w:rsidRPr="00486F1C" w:rsidRDefault="005432D5" w:rsidP="005432D5">
            <w:pPr>
              <w:adjustRightInd w:val="0"/>
              <w:ind w:firstLine="540"/>
              <w:jc w:val="both"/>
              <w:outlineLvl w:val="5"/>
              <w:rPr>
                <w:rFonts w:ascii="Times New Roman" w:hAnsi="Times New Roman"/>
                <w:b/>
                <w:i/>
                <w:iCs/>
                <w:color w:val="000000"/>
                <w:sz w:val="22"/>
                <w:szCs w:val="22"/>
              </w:rPr>
            </w:pPr>
          </w:p>
        </w:tc>
      </w:tr>
    </w:tbl>
    <w:p w:rsidR="00D92EAD" w:rsidRDefault="00D92EAD" w:rsidP="00C22C42">
      <w:pPr>
        <w:adjustRightInd w:val="0"/>
        <w:ind w:firstLine="540"/>
        <w:jc w:val="both"/>
        <w:rPr>
          <w:b/>
          <w:bCs/>
          <w:i/>
          <w:iCs/>
          <w:sz w:val="24"/>
          <w:szCs w:val="24"/>
        </w:rPr>
      </w:pPr>
    </w:p>
    <w:p w:rsidR="00F66A0E" w:rsidRPr="0051709D" w:rsidRDefault="00F66A0E" w:rsidP="00226062">
      <w:pPr>
        <w:spacing w:after="240"/>
        <w:jc w:val="both"/>
        <w:rPr>
          <w:b/>
          <w:sz w:val="22"/>
        </w:rPr>
      </w:pPr>
      <w:bookmarkStart w:id="1" w:name="Par262"/>
      <w:bookmarkEnd w:id="1"/>
    </w:p>
    <w:sectPr w:rsidR="00F66A0E" w:rsidRPr="0051709D" w:rsidSect="00F00BFD">
      <w:footerReference w:type="default" r:id="rId8"/>
      <w:pgSz w:w="11906" w:h="16838"/>
      <w:pgMar w:top="426" w:right="850" w:bottom="567" w:left="1134" w:header="397" w:footer="709" w:gutter="0"/>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845" w:rsidRDefault="008D7845">
      <w:r>
        <w:separator/>
      </w:r>
    </w:p>
  </w:endnote>
  <w:endnote w:type="continuationSeparator" w:id="0">
    <w:p w:rsidR="008D7845" w:rsidRDefault="008D7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MT">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FE1" w:rsidRDefault="00F52FE1">
    <w:pPr>
      <w:pStyle w:val="a5"/>
      <w:jc w:val="right"/>
    </w:pPr>
    <w:r>
      <w:fldChar w:fldCharType="begin"/>
    </w:r>
    <w:r>
      <w:instrText>PAGE   \* MERGEFORMAT</w:instrText>
    </w:r>
    <w:r>
      <w:fldChar w:fldCharType="separate"/>
    </w:r>
    <w:r w:rsidR="007F246E">
      <w:rPr>
        <w:noProof/>
      </w:rPr>
      <w:t>3</w:t>
    </w:r>
    <w:r>
      <w:fldChar w:fldCharType="end"/>
    </w:r>
  </w:p>
  <w:p w:rsidR="00F52FE1" w:rsidRDefault="00F52F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845" w:rsidRDefault="008D7845">
      <w:r>
        <w:separator/>
      </w:r>
    </w:p>
  </w:footnote>
  <w:footnote w:type="continuationSeparator" w:id="0">
    <w:p w:rsidR="008D7845" w:rsidRDefault="008D7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40E4"/>
    <w:multiLevelType w:val="hybridMultilevel"/>
    <w:tmpl w:val="2AA20800"/>
    <w:lvl w:ilvl="0" w:tplc="2DC2D79C">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68B"/>
    <w:rsid w:val="000003CD"/>
    <w:rsid w:val="00014B7B"/>
    <w:rsid w:val="00020B10"/>
    <w:rsid w:val="0002653C"/>
    <w:rsid w:val="000276F6"/>
    <w:rsid w:val="00030537"/>
    <w:rsid w:val="00033E29"/>
    <w:rsid w:val="000351A4"/>
    <w:rsid w:val="000357BF"/>
    <w:rsid w:val="00037E13"/>
    <w:rsid w:val="00040BD3"/>
    <w:rsid w:val="00054F28"/>
    <w:rsid w:val="00060B13"/>
    <w:rsid w:val="00067DED"/>
    <w:rsid w:val="000709B1"/>
    <w:rsid w:val="0007247A"/>
    <w:rsid w:val="00073AB4"/>
    <w:rsid w:val="00077C2D"/>
    <w:rsid w:val="000819D5"/>
    <w:rsid w:val="00083586"/>
    <w:rsid w:val="00091827"/>
    <w:rsid w:val="0009435D"/>
    <w:rsid w:val="0009770F"/>
    <w:rsid w:val="000A3312"/>
    <w:rsid w:val="000B7AAE"/>
    <w:rsid w:val="000C41FE"/>
    <w:rsid w:val="000D403E"/>
    <w:rsid w:val="000E08C9"/>
    <w:rsid w:val="000E30BE"/>
    <w:rsid w:val="000E3819"/>
    <w:rsid w:val="000F1327"/>
    <w:rsid w:val="000F227D"/>
    <w:rsid w:val="000F22EA"/>
    <w:rsid w:val="000F2407"/>
    <w:rsid w:val="001013FA"/>
    <w:rsid w:val="00101D8B"/>
    <w:rsid w:val="00106FF1"/>
    <w:rsid w:val="001109F1"/>
    <w:rsid w:val="001238CA"/>
    <w:rsid w:val="00135431"/>
    <w:rsid w:val="001357B3"/>
    <w:rsid w:val="00141A45"/>
    <w:rsid w:val="00154C24"/>
    <w:rsid w:val="00155DD8"/>
    <w:rsid w:val="001561A1"/>
    <w:rsid w:val="00162775"/>
    <w:rsid w:val="00166AB0"/>
    <w:rsid w:val="00167AA7"/>
    <w:rsid w:val="00173039"/>
    <w:rsid w:val="00173525"/>
    <w:rsid w:val="00173A7D"/>
    <w:rsid w:val="001763C2"/>
    <w:rsid w:val="00176714"/>
    <w:rsid w:val="00183F3F"/>
    <w:rsid w:val="00185F85"/>
    <w:rsid w:val="0018673F"/>
    <w:rsid w:val="00186A43"/>
    <w:rsid w:val="00186CF3"/>
    <w:rsid w:val="00191FDD"/>
    <w:rsid w:val="001940BA"/>
    <w:rsid w:val="001969ED"/>
    <w:rsid w:val="00197A1A"/>
    <w:rsid w:val="00197CEE"/>
    <w:rsid w:val="001A2955"/>
    <w:rsid w:val="001A371C"/>
    <w:rsid w:val="001A4380"/>
    <w:rsid w:val="001A56DF"/>
    <w:rsid w:val="001A682F"/>
    <w:rsid w:val="001A74BC"/>
    <w:rsid w:val="001A7A09"/>
    <w:rsid w:val="001B2D04"/>
    <w:rsid w:val="001B39B3"/>
    <w:rsid w:val="001C43EC"/>
    <w:rsid w:val="001C534D"/>
    <w:rsid w:val="001C74C6"/>
    <w:rsid w:val="001D5CDA"/>
    <w:rsid w:val="001E5D27"/>
    <w:rsid w:val="001E64DE"/>
    <w:rsid w:val="001F2410"/>
    <w:rsid w:val="002075C4"/>
    <w:rsid w:val="00216542"/>
    <w:rsid w:val="002203BA"/>
    <w:rsid w:val="00220B2A"/>
    <w:rsid w:val="00221FF5"/>
    <w:rsid w:val="00226062"/>
    <w:rsid w:val="0023267B"/>
    <w:rsid w:val="00235E68"/>
    <w:rsid w:val="002438A7"/>
    <w:rsid w:val="00243961"/>
    <w:rsid w:val="00252273"/>
    <w:rsid w:val="00255678"/>
    <w:rsid w:val="00256403"/>
    <w:rsid w:val="00257A5E"/>
    <w:rsid w:val="00263165"/>
    <w:rsid w:val="002713F9"/>
    <w:rsid w:val="0027291A"/>
    <w:rsid w:val="00275E1E"/>
    <w:rsid w:val="00280151"/>
    <w:rsid w:val="00287706"/>
    <w:rsid w:val="002A5D39"/>
    <w:rsid w:val="002B2616"/>
    <w:rsid w:val="002B63B4"/>
    <w:rsid w:val="002B6DB6"/>
    <w:rsid w:val="002D5C57"/>
    <w:rsid w:val="002E067E"/>
    <w:rsid w:val="002E7E3C"/>
    <w:rsid w:val="002F1571"/>
    <w:rsid w:val="002F191C"/>
    <w:rsid w:val="002F4C5E"/>
    <w:rsid w:val="002F66DE"/>
    <w:rsid w:val="00300B63"/>
    <w:rsid w:val="00303D47"/>
    <w:rsid w:val="00306B4A"/>
    <w:rsid w:val="00314EBE"/>
    <w:rsid w:val="0032352E"/>
    <w:rsid w:val="00331EBE"/>
    <w:rsid w:val="0033773A"/>
    <w:rsid w:val="00340EC4"/>
    <w:rsid w:val="0034233D"/>
    <w:rsid w:val="00345164"/>
    <w:rsid w:val="00350DFE"/>
    <w:rsid w:val="00351CA2"/>
    <w:rsid w:val="00354D87"/>
    <w:rsid w:val="0035512B"/>
    <w:rsid w:val="003636EA"/>
    <w:rsid w:val="00364885"/>
    <w:rsid w:val="00364985"/>
    <w:rsid w:val="00377B04"/>
    <w:rsid w:val="00377B21"/>
    <w:rsid w:val="0038600A"/>
    <w:rsid w:val="00387809"/>
    <w:rsid w:val="00393655"/>
    <w:rsid w:val="003A0788"/>
    <w:rsid w:val="003A11AD"/>
    <w:rsid w:val="003B5ACE"/>
    <w:rsid w:val="003B7752"/>
    <w:rsid w:val="003C023B"/>
    <w:rsid w:val="003C27E5"/>
    <w:rsid w:val="003C465E"/>
    <w:rsid w:val="003C4F6B"/>
    <w:rsid w:val="003D3B9A"/>
    <w:rsid w:val="003D590E"/>
    <w:rsid w:val="003D630E"/>
    <w:rsid w:val="003D7059"/>
    <w:rsid w:val="003D7B55"/>
    <w:rsid w:val="003E08DB"/>
    <w:rsid w:val="003E1D09"/>
    <w:rsid w:val="003E345A"/>
    <w:rsid w:val="003E7328"/>
    <w:rsid w:val="003F0DA3"/>
    <w:rsid w:val="003F2E23"/>
    <w:rsid w:val="003F3D5A"/>
    <w:rsid w:val="00402159"/>
    <w:rsid w:val="00412E94"/>
    <w:rsid w:val="004133F1"/>
    <w:rsid w:val="00415581"/>
    <w:rsid w:val="00417B0C"/>
    <w:rsid w:val="00422AD3"/>
    <w:rsid w:val="00424731"/>
    <w:rsid w:val="0042663D"/>
    <w:rsid w:val="00434F56"/>
    <w:rsid w:val="00434FFB"/>
    <w:rsid w:val="00452BF8"/>
    <w:rsid w:val="00460EED"/>
    <w:rsid w:val="004658A1"/>
    <w:rsid w:val="00466793"/>
    <w:rsid w:val="00466CE1"/>
    <w:rsid w:val="00470CAE"/>
    <w:rsid w:val="004719C6"/>
    <w:rsid w:val="00486F1C"/>
    <w:rsid w:val="00487016"/>
    <w:rsid w:val="004934E4"/>
    <w:rsid w:val="004A5004"/>
    <w:rsid w:val="004A5FF0"/>
    <w:rsid w:val="004B1060"/>
    <w:rsid w:val="004B5EE2"/>
    <w:rsid w:val="004C6A88"/>
    <w:rsid w:val="004D23F7"/>
    <w:rsid w:val="004E083C"/>
    <w:rsid w:val="004F017B"/>
    <w:rsid w:val="004F44BD"/>
    <w:rsid w:val="0050679D"/>
    <w:rsid w:val="0051709D"/>
    <w:rsid w:val="00520704"/>
    <w:rsid w:val="0052218A"/>
    <w:rsid w:val="00525166"/>
    <w:rsid w:val="00527AC9"/>
    <w:rsid w:val="00533E10"/>
    <w:rsid w:val="00541559"/>
    <w:rsid w:val="005432D5"/>
    <w:rsid w:val="00543B6F"/>
    <w:rsid w:val="005452A9"/>
    <w:rsid w:val="00545CDC"/>
    <w:rsid w:val="00550F99"/>
    <w:rsid w:val="005566AF"/>
    <w:rsid w:val="005705BD"/>
    <w:rsid w:val="00571F49"/>
    <w:rsid w:val="00573FA3"/>
    <w:rsid w:val="00576DBD"/>
    <w:rsid w:val="00586BD5"/>
    <w:rsid w:val="00597DD4"/>
    <w:rsid w:val="005A4D4E"/>
    <w:rsid w:val="005B1173"/>
    <w:rsid w:val="005B14E3"/>
    <w:rsid w:val="005B28AE"/>
    <w:rsid w:val="005B484C"/>
    <w:rsid w:val="005B6FFC"/>
    <w:rsid w:val="005C2189"/>
    <w:rsid w:val="005C397F"/>
    <w:rsid w:val="005D1164"/>
    <w:rsid w:val="005D13FA"/>
    <w:rsid w:val="005D6DC9"/>
    <w:rsid w:val="005F3317"/>
    <w:rsid w:val="005F6F38"/>
    <w:rsid w:val="00611A92"/>
    <w:rsid w:val="006137CD"/>
    <w:rsid w:val="00613DAB"/>
    <w:rsid w:val="00615E3C"/>
    <w:rsid w:val="00615E6D"/>
    <w:rsid w:val="0061607E"/>
    <w:rsid w:val="00616D8D"/>
    <w:rsid w:val="0062574F"/>
    <w:rsid w:val="006268B4"/>
    <w:rsid w:val="0062725C"/>
    <w:rsid w:val="006309EF"/>
    <w:rsid w:val="00635195"/>
    <w:rsid w:val="006421F4"/>
    <w:rsid w:val="0064399D"/>
    <w:rsid w:val="00646F25"/>
    <w:rsid w:val="0065068B"/>
    <w:rsid w:val="0065411D"/>
    <w:rsid w:val="00662C0F"/>
    <w:rsid w:val="00665FB3"/>
    <w:rsid w:val="0067482D"/>
    <w:rsid w:val="00677BD1"/>
    <w:rsid w:val="006811AF"/>
    <w:rsid w:val="00681443"/>
    <w:rsid w:val="00681D06"/>
    <w:rsid w:val="00682769"/>
    <w:rsid w:val="00683697"/>
    <w:rsid w:val="00690538"/>
    <w:rsid w:val="00697AB3"/>
    <w:rsid w:val="006A0274"/>
    <w:rsid w:val="006A1A1C"/>
    <w:rsid w:val="006A3622"/>
    <w:rsid w:val="006A37B6"/>
    <w:rsid w:val="006A5513"/>
    <w:rsid w:val="006A5894"/>
    <w:rsid w:val="006B5630"/>
    <w:rsid w:val="006B64FD"/>
    <w:rsid w:val="006D40AB"/>
    <w:rsid w:val="006D4B88"/>
    <w:rsid w:val="006D4EB6"/>
    <w:rsid w:val="006D54C4"/>
    <w:rsid w:val="006D640E"/>
    <w:rsid w:val="006E4BBF"/>
    <w:rsid w:val="006F26EB"/>
    <w:rsid w:val="006F78DD"/>
    <w:rsid w:val="00714C22"/>
    <w:rsid w:val="007150BD"/>
    <w:rsid w:val="00716120"/>
    <w:rsid w:val="00721C4F"/>
    <w:rsid w:val="007241A0"/>
    <w:rsid w:val="007251ED"/>
    <w:rsid w:val="00725CEE"/>
    <w:rsid w:val="00726D61"/>
    <w:rsid w:val="007313A6"/>
    <w:rsid w:val="00736EF9"/>
    <w:rsid w:val="00742BFE"/>
    <w:rsid w:val="00743975"/>
    <w:rsid w:val="0074458A"/>
    <w:rsid w:val="007472A7"/>
    <w:rsid w:val="00754457"/>
    <w:rsid w:val="00756B2C"/>
    <w:rsid w:val="00757210"/>
    <w:rsid w:val="00760CED"/>
    <w:rsid w:val="00765AC3"/>
    <w:rsid w:val="00767D12"/>
    <w:rsid w:val="00770FEE"/>
    <w:rsid w:val="00772312"/>
    <w:rsid w:val="007841BD"/>
    <w:rsid w:val="00786418"/>
    <w:rsid w:val="0078683D"/>
    <w:rsid w:val="00787E79"/>
    <w:rsid w:val="007908B2"/>
    <w:rsid w:val="007A1632"/>
    <w:rsid w:val="007A3581"/>
    <w:rsid w:val="007C0D2B"/>
    <w:rsid w:val="007C2F72"/>
    <w:rsid w:val="007C7FE9"/>
    <w:rsid w:val="007D5C34"/>
    <w:rsid w:val="007D7881"/>
    <w:rsid w:val="007E0086"/>
    <w:rsid w:val="007E09D2"/>
    <w:rsid w:val="007E0F2F"/>
    <w:rsid w:val="007E56BB"/>
    <w:rsid w:val="007F082D"/>
    <w:rsid w:val="007F246E"/>
    <w:rsid w:val="007F5F6E"/>
    <w:rsid w:val="00803F56"/>
    <w:rsid w:val="00811A89"/>
    <w:rsid w:val="00811AA8"/>
    <w:rsid w:val="00813AD0"/>
    <w:rsid w:val="008149D6"/>
    <w:rsid w:val="00821B50"/>
    <w:rsid w:val="00824F5A"/>
    <w:rsid w:val="008256F8"/>
    <w:rsid w:val="00825BAF"/>
    <w:rsid w:val="00827E39"/>
    <w:rsid w:val="00832B60"/>
    <w:rsid w:val="00835A57"/>
    <w:rsid w:val="0084085E"/>
    <w:rsid w:val="008408E6"/>
    <w:rsid w:val="00840B10"/>
    <w:rsid w:val="00843AD0"/>
    <w:rsid w:val="008460DB"/>
    <w:rsid w:val="00854110"/>
    <w:rsid w:val="00855503"/>
    <w:rsid w:val="008571A0"/>
    <w:rsid w:val="00865B33"/>
    <w:rsid w:val="00870BE0"/>
    <w:rsid w:val="008734F9"/>
    <w:rsid w:val="008863C1"/>
    <w:rsid w:val="00890070"/>
    <w:rsid w:val="00891FCB"/>
    <w:rsid w:val="008969C4"/>
    <w:rsid w:val="008A5124"/>
    <w:rsid w:val="008A65E1"/>
    <w:rsid w:val="008A6F2E"/>
    <w:rsid w:val="008B2B2C"/>
    <w:rsid w:val="008C1E48"/>
    <w:rsid w:val="008C20A5"/>
    <w:rsid w:val="008C588E"/>
    <w:rsid w:val="008C71AB"/>
    <w:rsid w:val="008D4332"/>
    <w:rsid w:val="008D47C7"/>
    <w:rsid w:val="008D4F43"/>
    <w:rsid w:val="008D623D"/>
    <w:rsid w:val="008D7845"/>
    <w:rsid w:val="008E37F2"/>
    <w:rsid w:val="008E67FF"/>
    <w:rsid w:val="008F64CA"/>
    <w:rsid w:val="0090580E"/>
    <w:rsid w:val="009067CB"/>
    <w:rsid w:val="00915F5D"/>
    <w:rsid w:val="00920156"/>
    <w:rsid w:val="00922D42"/>
    <w:rsid w:val="009260EE"/>
    <w:rsid w:val="0092650A"/>
    <w:rsid w:val="00931469"/>
    <w:rsid w:val="00940732"/>
    <w:rsid w:val="00946E94"/>
    <w:rsid w:val="00972787"/>
    <w:rsid w:val="009768D0"/>
    <w:rsid w:val="00977FF7"/>
    <w:rsid w:val="00980348"/>
    <w:rsid w:val="00980B50"/>
    <w:rsid w:val="00981D17"/>
    <w:rsid w:val="00981D6E"/>
    <w:rsid w:val="0098507D"/>
    <w:rsid w:val="00987139"/>
    <w:rsid w:val="009A5481"/>
    <w:rsid w:val="009A5CF5"/>
    <w:rsid w:val="009B006F"/>
    <w:rsid w:val="009B1578"/>
    <w:rsid w:val="009B3349"/>
    <w:rsid w:val="009B77DB"/>
    <w:rsid w:val="009C7A86"/>
    <w:rsid w:val="009D044C"/>
    <w:rsid w:val="009D1F06"/>
    <w:rsid w:val="009D64A6"/>
    <w:rsid w:val="009F0C6B"/>
    <w:rsid w:val="00A02E51"/>
    <w:rsid w:val="00A02F87"/>
    <w:rsid w:val="00A207F2"/>
    <w:rsid w:val="00A213A1"/>
    <w:rsid w:val="00A21704"/>
    <w:rsid w:val="00A22E96"/>
    <w:rsid w:val="00A275C2"/>
    <w:rsid w:val="00A36C18"/>
    <w:rsid w:val="00A40844"/>
    <w:rsid w:val="00A439DB"/>
    <w:rsid w:val="00A53436"/>
    <w:rsid w:val="00A54167"/>
    <w:rsid w:val="00A551B4"/>
    <w:rsid w:val="00A6442C"/>
    <w:rsid w:val="00A66A45"/>
    <w:rsid w:val="00A67667"/>
    <w:rsid w:val="00A73442"/>
    <w:rsid w:val="00A76F76"/>
    <w:rsid w:val="00A873C6"/>
    <w:rsid w:val="00A9271F"/>
    <w:rsid w:val="00A96448"/>
    <w:rsid w:val="00AA40FD"/>
    <w:rsid w:val="00AB4153"/>
    <w:rsid w:val="00AC591F"/>
    <w:rsid w:val="00AD15ED"/>
    <w:rsid w:val="00AD1957"/>
    <w:rsid w:val="00AD7905"/>
    <w:rsid w:val="00AE6231"/>
    <w:rsid w:val="00AE771A"/>
    <w:rsid w:val="00AF3EB6"/>
    <w:rsid w:val="00AF61C8"/>
    <w:rsid w:val="00B0060D"/>
    <w:rsid w:val="00B1526B"/>
    <w:rsid w:val="00B1591C"/>
    <w:rsid w:val="00B17248"/>
    <w:rsid w:val="00B22363"/>
    <w:rsid w:val="00B2264B"/>
    <w:rsid w:val="00B22E5B"/>
    <w:rsid w:val="00B2548A"/>
    <w:rsid w:val="00B30314"/>
    <w:rsid w:val="00B303E1"/>
    <w:rsid w:val="00B37A4B"/>
    <w:rsid w:val="00B37ED2"/>
    <w:rsid w:val="00B43FA6"/>
    <w:rsid w:val="00B4532A"/>
    <w:rsid w:val="00B45E21"/>
    <w:rsid w:val="00B50F89"/>
    <w:rsid w:val="00B54D6C"/>
    <w:rsid w:val="00B5500C"/>
    <w:rsid w:val="00B5777A"/>
    <w:rsid w:val="00B607A9"/>
    <w:rsid w:val="00B6233D"/>
    <w:rsid w:val="00B63FA6"/>
    <w:rsid w:val="00B66C2F"/>
    <w:rsid w:val="00B70395"/>
    <w:rsid w:val="00B76233"/>
    <w:rsid w:val="00B8031B"/>
    <w:rsid w:val="00B83715"/>
    <w:rsid w:val="00B87998"/>
    <w:rsid w:val="00B90841"/>
    <w:rsid w:val="00B9208C"/>
    <w:rsid w:val="00BA28ED"/>
    <w:rsid w:val="00BA30B9"/>
    <w:rsid w:val="00BA5F2E"/>
    <w:rsid w:val="00BA6576"/>
    <w:rsid w:val="00BB071A"/>
    <w:rsid w:val="00BB28EA"/>
    <w:rsid w:val="00BB6DC1"/>
    <w:rsid w:val="00BC0923"/>
    <w:rsid w:val="00BC409B"/>
    <w:rsid w:val="00BC5255"/>
    <w:rsid w:val="00BC5C0B"/>
    <w:rsid w:val="00BD0886"/>
    <w:rsid w:val="00BE0B9F"/>
    <w:rsid w:val="00BE70DB"/>
    <w:rsid w:val="00BF2CB9"/>
    <w:rsid w:val="00BF3E10"/>
    <w:rsid w:val="00BF4AEB"/>
    <w:rsid w:val="00C01B22"/>
    <w:rsid w:val="00C05B4B"/>
    <w:rsid w:val="00C1036D"/>
    <w:rsid w:val="00C11030"/>
    <w:rsid w:val="00C1445A"/>
    <w:rsid w:val="00C15C5C"/>
    <w:rsid w:val="00C22C42"/>
    <w:rsid w:val="00C24997"/>
    <w:rsid w:val="00C25D07"/>
    <w:rsid w:val="00C306E8"/>
    <w:rsid w:val="00C30ED4"/>
    <w:rsid w:val="00C333EC"/>
    <w:rsid w:val="00C41FD6"/>
    <w:rsid w:val="00C57E2A"/>
    <w:rsid w:val="00C642C1"/>
    <w:rsid w:val="00C6791E"/>
    <w:rsid w:val="00C711B7"/>
    <w:rsid w:val="00C75919"/>
    <w:rsid w:val="00C8213D"/>
    <w:rsid w:val="00C82199"/>
    <w:rsid w:val="00C90D8F"/>
    <w:rsid w:val="00C91785"/>
    <w:rsid w:val="00C940DB"/>
    <w:rsid w:val="00CA2845"/>
    <w:rsid w:val="00CA7096"/>
    <w:rsid w:val="00CA7B9A"/>
    <w:rsid w:val="00CB7B76"/>
    <w:rsid w:val="00CC2120"/>
    <w:rsid w:val="00CC66EF"/>
    <w:rsid w:val="00CD5083"/>
    <w:rsid w:val="00CD6F09"/>
    <w:rsid w:val="00CF2420"/>
    <w:rsid w:val="00D034B8"/>
    <w:rsid w:val="00D04AD1"/>
    <w:rsid w:val="00D12B05"/>
    <w:rsid w:val="00D13F28"/>
    <w:rsid w:val="00D16CEA"/>
    <w:rsid w:val="00D22AFB"/>
    <w:rsid w:val="00D267EB"/>
    <w:rsid w:val="00D30F03"/>
    <w:rsid w:val="00D45873"/>
    <w:rsid w:val="00D50C89"/>
    <w:rsid w:val="00D56757"/>
    <w:rsid w:val="00D60F64"/>
    <w:rsid w:val="00D67E25"/>
    <w:rsid w:val="00D70A91"/>
    <w:rsid w:val="00D71158"/>
    <w:rsid w:val="00D8409D"/>
    <w:rsid w:val="00D84431"/>
    <w:rsid w:val="00D85B87"/>
    <w:rsid w:val="00D8696D"/>
    <w:rsid w:val="00D90359"/>
    <w:rsid w:val="00D92EAD"/>
    <w:rsid w:val="00D93A3D"/>
    <w:rsid w:val="00D93C8C"/>
    <w:rsid w:val="00D967F8"/>
    <w:rsid w:val="00DB4561"/>
    <w:rsid w:val="00DB70EA"/>
    <w:rsid w:val="00DC4B60"/>
    <w:rsid w:val="00DD66A3"/>
    <w:rsid w:val="00DE2FE7"/>
    <w:rsid w:val="00DF05D0"/>
    <w:rsid w:val="00DF5AE0"/>
    <w:rsid w:val="00E00B4C"/>
    <w:rsid w:val="00E04245"/>
    <w:rsid w:val="00E104C0"/>
    <w:rsid w:val="00E15148"/>
    <w:rsid w:val="00E1614E"/>
    <w:rsid w:val="00E22868"/>
    <w:rsid w:val="00E25C12"/>
    <w:rsid w:val="00E31E7B"/>
    <w:rsid w:val="00E44D1D"/>
    <w:rsid w:val="00E53E42"/>
    <w:rsid w:val="00E55EEC"/>
    <w:rsid w:val="00E629B0"/>
    <w:rsid w:val="00E62CD7"/>
    <w:rsid w:val="00E70853"/>
    <w:rsid w:val="00E70A66"/>
    <w:rsid w:val="00E711F4"/>
    <w:rsid w:val="00E73E67"/>
    <w:rsid w:val="00E7462E"/>
    <w:rsid w:val="00E77DEE"/>
    <w:rsid w:val="00E82D21"/>
    <w:rsid w:val="00E82E67"/>
    <w:rsid w:val="00E8632A"/>
    <w:rsid w:val="00E878CC"/>
    <w:rsid w:val="00E92E1D"/>
    <w:rsid w:val="00E93E4F"/>
    <w:rsid w:val="00E96833"/>
    <w:rsid w:val="00EA1269"/>
    <w:rsid w:val="00EA375B"/>
    <w:rsid w:val="00EA50CE"/>
    <w:rsid w:val="00EA7637"/>
    <w:rsid w:val="00EC6038"/>
    <w:rsid w:val="00ED0058"/>
    <w:rsid w:val="00ED0345"/>
    <w:rsid w:val="00ED039D"/>
    <w:rsid w:val="00ED0E09"/>
    <w:rsid w:val="00ED1A39"/>
    <w:rsid w:val="00EE0070"/>
    <w:rsid w:val="00EF1F4E"/>
    <w:rsid w:val="00EF7E7E"/>
    <w:rsid w:val="00F00BFD"/>
    <w:rsid w:val="00F10A9B"/>
    <w:rsid w:val="00F22F2A"/>
    <w:rsid w:val="00F4410E"/>
    <w:rsid w:val="00F46F05"/>
    <w:rsid w:val="00F52E89"/>
    <w:rsid w:val="00F52FE1"/>
    <w:rsid w:val="00F53160"/>
    <w:rsid w:val="00F57CAD"/>
    <w:rsid w:val="00F6414B"/>
    <w:rsid w:val="00F655EE"/>
    <w:rsid w:val="00F66A0E"/>
    <w:rsid w:val="00F7098C"/>
    <w:rsid w:val="00F70E3A"/>
    <w:rsid w:val="00F718D4"/>
    <w:rsid w:val="00F74C97"/>
    <w:rsid w:val="00F8723B"/>
    <w:rsid w:val="00F96B3E"/>
    <w:rsid w:val="00FA2BC7"/>
    <w:rsid w:val="00FA7ABC"/>
    <w:rsid w:val="00FB0330"/>
    <w:rsid w:val="00FB7F6C"/>
    <w:rsid w:val="00FC6A0D"/>
    <w:rsid w:val="00FE045D"/>
    <w:rsid w:val="00FE2A81"/>
    <w:rsid w:val="00FE6F2A"/>
    <w:rsid w:val="00FE7851"/>
    <w:rsid w:val="00FF4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837DF09-90B6-4C8E-8316-E0A98030F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21F4"/>
    <w:pPr>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locked/>
    <w:rPr>
      <w:rFonts w:cs="Times New Roman"/>
      <w:sz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locked/>
    <w:rPr>
      <w:rFonts w:cs="Times New Roman"/>
      <w:sz w:val="20"/>
    </w:rPr>
  </w:style>
  <w:style w:type="paragraph" w:styleId="a7">
    <w:name w:val="footnote text"/>
    <w:basedOn w:val="a"/>
    <w:link w:val="a8"/>
    <w:uiPriority w:val="99"/>
  </w:style>
  <w:style w:type="character" w:customStyle="1" w:styleId="a8">
    <w:name w:val="Текст сноски Знак"/>
    <w:basedOn w:val="a0"/>
    <w:link w:val="a7"/>
    <w:uiPriority w:val="99"/>
    <w:locked/>
    <w:rPr>
      <w:rFonts w:cs="Times New Roman"/>
      <w:sz w:val="20"/>
    </w:rPr>
  </w:style>
  <w:style w:type="character" w:styleId="a9">
    <w:name w:val="footnote reference"/>
    <w:basedOn w:val="a0"/>
    <w:uiPriority w:val="99"/>
    <w:rPr>
      <w:rFonts w:cs="Times New Roman"/>
      <w:vertAlign w:val="superscript"/>
    </w:rPr>
  </w:style>
  <w:style w:type="paragraph" w:customStyle="1" w:styleId="ConsNonformat">
    <w:name w:val="ConsNonformat"/>
    <w:uiPriority w:val="99"/>
    <w:rsid w:val="0007247A"/>
    <w:pPr>
      <w:jc w:val="both"/>
    </w:pPr>
    <w:rPr>
      <w:rFonts w:ascii="Courier New" w:hAnsi="Courier New" w:cs="Courier New"/>
    </w:rPr>
  </w:style>
  <w:style w:type="paragraph" w:customStyle="1" w:styleId="ConsNormal">
    <w:name w:val="ConsNormal"/>
    <w:uiPriority w:val="99"/>
    <w:rsid w:val="00A76F76"/>
    <w:pPr>
      <w:ind w:right="19772" w:firstLine="540"/>
      <w:jc w:val="both"/>
    </w:pPr>
    <w:rPr>
      <w:rFonts w:ascii="Courier New" w:hAnsi="Courier New" w:cs="Courier New"/>
    </w:rPr>
  </w:style>
  <w:style w:type="paragraph" w:customStyle="1" w:styleId="Default">
    <w:name w:val="Default"/>
    <w:rsid w:val="007251ED"/>
    <w:pPr>
      <w:autoSpaceDE w:val="0"/>
      <w:autoSpaceDN w:val="0"/>
      <w:adjustRightInd w:val="0"/>
    </w:pPr>
    <w:rPr>
      <w:color w:val="000000"/>
      <w:sz w:val="24"/>
      <w:szCs w:val="24"/>
    </w:rPr>
  </w:style>
  <w:style w:type="character" w:styleId="aa">
    <w:name w:val="annotation reference"/>
    <w:basedOn w:val="a0"/>
    <w:uiPriority w:val="99"/>
    <w:semiHidden/>
    <w:unhideWhenUsed/>
    <w:rsid w:val="0067482D"/>
    <w:rPr>
      <w:rFonts w:cs="Times New Roman"/>
      <w:sz w:val="16"/>
    </w:rPr>
  </w:style>
  <w:style w:type="paragraph" w:styleId="ab">
    <w:name w:val="annotation text"/>
    <w:basedOn w:val="a"/>
    <w:link w:val="ac"/>
    <w:uiPriority w:val="99"/>
    <w:unhideWhenUsed/>
    <w:rsid w:val="0067482D"/>
  </w:style>
  <w:style w:type="character" w:customStyle="1" w:styleId="ac">
    <w:name w:val="Текст примечания Знак"/>
    <w:basedOn w:val="a0"/>
    <w:link w:val="ab"/>
    <w:uiPriority w:val="99"/>
    <w:locked/>
    <w:rsid w:val="0067482D"/>
    <w:rPr>
      <w:rFonts w:cs="Times New Roman"/>
      <w:sz w:val="20"/>
    </w:rPr>
  </w:style>
  <w:style w:type="paragraph" w:styleId="ad">
    <w:name w:val="annotation subject"/>
    <w:basedOn w:val="ab"/>
    <w:next w:val="ab"/>
    <w:link w:val="ae"/>
    <w:uiPriority w:val="99"/>
    <w:semiHidden/>
    <w:unhideWhenUsed/>
    <w:rsid w:val="0067482D"/>
    <w:rPr>
      <w:b/>
      <w:bCs/>
    </w:rPr>
  </w:style>
  <w:style w:type="character" w:customStyle="1" w:styleId="ae">
    <w:name w:val="Тема примечания Знак"/>
    <w:basedOn w:val="ac"/>
    <w:link w:val="ad"/>
    <w:uiPriority w:val="99"/>
    <w:semiHidden/>
    <w:locked/>
    <w:rsid w:val="0067482D"/>
    <w:rPr>
      <w:rFonts w:cs="Times New Roman"/>
      <w:b/>
      <w:sz w:val="20"/>
    </w:rPr>
  </w:style>
  <w:style w:type="paragraph" w:styleId="af">
    <w:name w:val="Balloon Text"/>
    <w:basedOn w:val="a"/>
    <w:link w:val="af0"/>
    <w:uiPriority w:val="99"/>
    <w:semiHidden/>
    <w:unhideWhenUsed/>
    <w:rsid w:val="0067482D"/>
    <w:rPr>
      <w:rFonts w:ascii="Segoe UI" w:hAnsi="Segoe UI" w:cs="Segoe UI"/>
      <w:sz w:val="18"/>
      <w:szCs w:val="18"/>
    </w:rPr>
  </w:style>
  <w:style w:type="character" w:customStyle="1" w:styleId="af0">
    <w:name w:val="Текст выноски Знак"/>
    <w:basedOn w:val="a0"/>
    <w:link w:val="af"/>
    <w:uiPriority w:val="99"/>
    <w:semiHidden/>
    <w:locked/>
    <w:rsid w:val="0067482D"/>
    <w:rPr>
      <w:rFonts w:ascii="Segoe UI" w:hAnsi="Segoe UI" w:cs="Times New Roman"/>
      <w:sz w:val="18"/>
    </w:rPr>
  </w:style>
  <w:style w:type="paragraph" w:customStyle="1" w:styleId="msonormalcxspmiddle">
    <w:name w:val="msonormalcxspmiddle"/>
    <w:basedOn w:val="a"/>
    <w:rsid w:val="00586BD5"/>
    <w:pPr>
      <w:autoSpaceDE/>
      <w:autoSpaceDN/>
      <w:spacing w:before="100" w:beforeAutospacing="1" w:after="100" w:afterAutospacing="1"/>
    </w:pPr>
    <w:rPr>
      <w:sz w:val="24"/>
      <w:szCs w:val="24"/>
    </w:rPr>
  </w:style>
  <w:style w:type="character" w:customStyle="1" w:styleId="af1">
    <w:name w:val="Основной текст_"/>
    <w:link w:val="4"/>
    <w:locked/>
    <w:rsid w:val="000F227D"/>
    <w:rPr>
      <w:rFonts w:ascii="Calibri" w:hAnsi="Calibri"/>
      <w:b/>
      <w:i/>
      <w:spacing w:val="2"/>
      <w:sz w:val="15"/>
      <w:shd w:val="clear" w:color="auto" w:fill="FFFFFF"/>
    </w:rPr>
  </w:style>
  <w:style w:type="paragraph" w:customStyle="1" w:styleId="4">
    <w:name w:val="Основной текст4"/>
    <w:basedOn w:val="a"/>
    <w:link w:val="af1"/>
    <w:rsid w:val="000F227D"/>
    <w:pPr>
      <w:widowControl w:val="0"/>
      <w:shd w:val="clear" w:color="auto" w:fill="FFFFFF"/>
      <w:autoSpaceDE/>
      <w:autoSpaceDN/>
      <w:spacing w:line="216" w:lineRule="exact"/>
      <w:ind w:hanging="280"/>
    </w:pPr>
    <w:rPr>
      <w:rFonts w:ascii="Calibri" w:hAnsi="Calibri" w:cs="Calibri"/>
      <w:b/>
      <w:bCs/>
      <w:i/>
      <w:iCs/>
      <w:spacing w:val="2"/>
      <w:sz w:val="15"/>
      <w:szCs w:val="15"/>
    </w:rPr>
  </w:style>
  <w:style w:type="character" w:styleId="af2">
    <w:name w:val="Hyperlink"/>
    <w:basedOn w:val="a0"/>
    <w:uiPriority w:val="99"/>
    <w:unhideWhenUsed/>
    <w:rsid w:val="001109F1"/>
    <w:rPr>
      <w:color w:val="0563C1" w:themeColor="hyperlink"/>
      <w:u w:val="single"/>
    </w:rPr>
  </w:style>
  <w:style w:type="paragraph" w:styleId="af3">
    <w:name w:val="Revision"/>
    <w:hidden/>
    <w:uiPriority w:val="99"/>
    <w:semiHidden/>
    <w:rsid w:val="008A5124"/>
  </w:style>
  <w:style w:type="table" w:styleId="af4">
    <w:name w:val="Table Grid"/>
    <w:basedOn w:val="a1"/>
    <w:uiPriority w:val="59"/>
    <w:rsid w:val="00D92EA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186A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865691">
      <w:marLeft w:val="0"/>
      <w:marRight w:val="0"/>
      <w:marTop w:val="0"/>
      <w:marBottom w:val="0"/>
      <w:divBdr>
        <w:top w:val="none" w:sz="0" w:space="0" w:color="auto"/>
        <w:left w:val="none" w:sz="0" w:space="0" w:color="auto"/>
        <w:bottom w:val="none" w:sz="0" w:space="0" w:color="auto"/>
        <w:right w:val="none" w:sz="0" w:space="0" w:color="auto"/>
      </w:divBdr>
    </w:div>
    <w:div w:id="1669865692">
      <w:marLeft w:val="0"/>
      <w:marRight w:val="0"/>
      <w:marTop w:val="0"/>
      <w:marBottom w:val="0"/>
      <w:divBdr>
        <w:top w:val="none" w:sz="0" w:space="0" w:color="auto"/>
        <w:left w:val="none" w:sz="0" w:space="0" w:color="auto"/>
        <w:bottom w:val="none" w:sz="0" w:space="0" w:color="auto"/>
        <w:right w:val="none" w:sz="0" w:space="0" w:color="auto"/>
      </w:divBdr>
    </w:div>
    <w:div w:id="1669865693">
      <w:marLeft w:val="0"/>
      <w:marRight w:val="0"/>
      <w:marTop w:val="0"/>
      <w:marBottom w:val="0"/>
      <w:divBdr>
        <w:top w:val="none" w:sz="0" w:space="0" w:color="auto"/>
        <w:left w:val="none" w:sz="0" w:space="0" w:color="auto"/>
        <w:bottom w:val="none" w:sz="0" w:space="0" w:color="auto"/>
        <w:right w:val="none" w:sz="0" w:space="0" w:color="auto"/>
      </w:divBdr>
    </w:div>
    <w:div w:id="16698656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4B6AD-C7F0-43BD-ABF2-04DB17952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3927</Words>
  <Characters>22387</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26262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Родичева Дарья Алексеевна (drodicheva)</cp:lastModifiedBy>
  <cp:revision>2</cp:revision>
  <cp:lastPrinted>2019-08-26T16:49:00Z</cp:lastPrinted>
  <dcterms:created xsi:type="dcterms:W3CDTF">2020-11-27T07:04:00Z</dcterms:created>
  <dcterms:modified xsi:type="dcterms:W3CDTF">2020-11-27T07:04:00Z</dcterms:modified>
</cp:coreProperties>
</file>